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7313" w:rsidRPr="00877F28" w:rsidRDefault="009F29B8" w:rsidP="00B27225">
      <w:pPr>
        <w:pStyle w:val="Title"/>
        <w:ind w:left="1" w:hanging="3"/>
        <w:rPr>
          <w:rFonts w:asciiTheme="majorHAnsi" w:eastAsia="Calibri" w:hAnsiTheme="majorHAnsi" w:cstheme="majorHAnsi"/>
          <w:sz w:val="32"/>
          <w:szCs w:val="32"/>
        </w:rPr>
      </w:pPr>
      <w:r w:rsidRPr="00877F28">
        <w:rPr>
          <w:rFonts w:asciiTheme="majorHAnsi" w:hAnsiTheme="majorHAnsi" w:cstheme="majorHAnsi"/>
          <w:sz w:val="32"/>
          <w:szCs w:val="32"/>
        </w:rPr>
        <w:t>CONSTRUCTING NATIONAL UNITY: AN SFL INTERPERSONAL METAFUNCTION ANALYSIS OF INDONESIA’S INDEPENDENCE DAY SLOGANS (2015–2025)</w:t>
      </w:r>
    </w:p>
    <w:p w:rsidR="006A7313" w:rsidRPr="00877F28" w:rsidRDefault="006A7313" w:rsidP="00415587">
      <w:pPr>
        <w:ind w:left="0" w:hanging="2"/>
        <w:jc w:val="center"/>
        <w:rPr>
          <w:rFonts w:asciiTheme="majorHAnsi" w:eastAsia="Calibri" w:hAnsiTheme="majorHAnsi" w:cstheme="majorHAnsi"/>
        </w:rPr>
      </w:pPr>
    </w:p>
    <w:p w:rsidR="006A7313" w:rsidRPr="006E1E85" w:rsidRDefault="00B27225" w:rsidP="00415587">
      <w:pPr>
        <w:ind w:left="1" w:hanging="3"/>
        <w:jc w:val="center"/>
        <w:rPr>
          <w:rFonts w:asciiTheme="majorHAnsi" w:eastAsia="Calibri" w:hAnsiTheme="majorHAnsi" w:cstheme="majorHAnsi"/>
          <w:sz w:val="28"/>
          <w:szCs w:val="28"/>
          <w:vertAlign w:val="superscript"/>
        </w:rPr>
      </w:pPr>
      <w:proofErr w:type="spellStart"/>
      <w:r w:rsidRPr="00877F28">
        <w:rPr>
          <w:rFonts w:asciiTheme="majorHAnsi" w:eastAsia="Calibri" w:hAnsiTheme="majorHAnsi" w:cstheme="majorHAnsi"/>
          <w:b/>
          <w:sz w:val="28"/>
          <w:szCs w:val="28"/>
        </w:rPr>
        <w:t>Siska</w:t>
      </w:r>
      <w:proofErr w:type="spellEnd"/>
      <w:r w:rsidRPr="00877F28">
        <w:rPr>
          <w:rFonts w:asciiTheme="majorHAnsi" w:eastAsia="Calibri" w:hAnsiTheme="majorHAnsi" w:cstheme="majorHAnsi"/>
          <w:b/>
          <w:sz w:val="28"/>
          <w:szCs w:val="28"/>
        </w:rPr>
        <w:t xml:space="preserve"> </w:t>
      </w:r>
      <w:proofErr w:type="spellStart"/>
      <w:r w:rsidRPr="00877F28">
        <w:rPr>
          <w:rFonts w:asciiTheme="majorHAnsi" w:eastAsia="Calibri" w:hAnsiTheme="majorHAnsi" w:cstheme="majorHAnsi"/>
          <w:b/>
          <w:sz w:val="28"/>
          <w:szCs w:val="28"/>
        </w:rPr>
        <w:t>Eka</w:t>
      </w:r>
      <w:proofErr w:type="spellEnd"/>
      <w:r w:rsidRPr="00877F28">
        <w:rPr>
          <w:rFonts w:asciiTheme="majorHAnsi" w:eastAsia="Calibri" w:hAnsiTheme="majorHAnsi" w:cstheme="majorHAnsi"/>
          <w:b/>
          <w:sz w:val="28"/>
          <w:szCs w:val="28"/>
        </w:rPr>
        <w:t xml:space="preserve"> Syafitri</w:t>
      </w:r>
      <w:r w:rsidR="006E1E85">
        <w:rPr>
          <w:rFonts w:asciiTheme="majorHAnsi" w:eastAsia="Calibri" w:hAnsiTheme="majorHAnsi" w:cstheme="majorHAnsi"/>
          <w:b/>
          <w:sz w:val="28"/>
          <w:szCs w:val="28"/>
          <w:vertAlign w:val="superscript"/>
        </w:rPr>
        <w:t>1</w:t>
      </w:r>
      <w:r w:rsidR="00E64D0D" w:rsidRPr="00877F28">
        <w:rPr>
          <w:rFonts w:asciiTheme="majorHAnsi" w:eastAsia="Calibri" w:hAnsiTheme="majorHAnsi" w:cstheme="majorHAnsi"/>
          <w:b/>
          <w:sz w:val="28"/>
          <w:szCs w:val="28"/>
        </w:rPr>
        <w:t xml:space="preserve">, Muhammad </w:t>
      </w:r>
      <w:proofErr w:type="spellStart"/>
      <w:r w:rsidR="00E64D0D" w:rsidRPr="00877F28">
        <w:rPr>
          <w:rFonts w:asciiTheme="majorHAnsi" w:eastAsia="Calibri" w:hAnsiTheme="majorHAnsi" w:cstheme="majorHAnsi"/>
          <w:b/>
          <w:sz w:val="28"/>
          <w:szCs w:val="28"/>
        </w:rPr>
        <w:t>Arif</w:t>
      </w:r>
      <w:proofErr w:type="spellEnd"/>
      <w:r w:rsidR="00E64D0D" w:rsidRPr="00877F28">
        <w:rPr>
          <w:rFonts w:asciiTheme="majorHAnsi" w:eastAsia="Calibri" w:hAnsiTheme="majorHAnsi" w:cstheme="majorHAnsi"/>
          <w:b/>
          <w:sz w:val="28"/>
          <w:szCs w:val="28"/>
        </w:rPr>
        <w:t xml:space="preserve"> Sanjaya</w:t>
      </w:r>
      <w:r w:rsidR="006E1E85">
        <w:rPr>
          <w:rFonts w:asciiTheme="majorHAnsi" w:eastAsia="Calibri" w:hAnsiTheme="majorHAnsi" w:cstheme="majorHAnsi"/>
          <w:b/>
          <w:sz w:val="28"/>
          <w:szCs w:val="28"/>
          <w:vertAlign w:val="superscript"/>
        </w:rPr>
        <w:t>1</w:t>
      </w:r>
      <w:r w:rsidR="0022799E">
        <w:rPr>
          <w:rFonts w:asciiTheme="majorHAnsi" w:eastAsia="Calibri" w:hAnsiTheme="majorHAnsi" w:cstheme="majorHAnsi"/>
          <w:b/>
          <w:sz w:val="28"/>
          <w:szCs w:val="28"/>
        </w:rPr>
        <w:t xml:space="preserve">, </w:t>
      </w:r>
      <w:r w:rsidR="0022799E" w:rsidRPr="00877F28">
        <w:rPr>
          <w:rFonts w:asciiTheme="majorHAnsi" w:eastAsia="Calibri" w:hAnsiTheme="majorHAnsi" w:cstheme="majorHAnsi"/>
          <w:b/>
          <w:sz w:val="28"/>
          <w:szCs w:val="28"/>
        </w:rPr>
        <w:t>Devi Pratiwy</w:t>
      </w:r>
      <w:r w:rsidR="0022799E">
        <w:rPr>
          <w:rFonts w:asciiTheme="majorHAnsi" w:eastAsia="Calibri" w:hAnsiTheme="majorHAnsi" w:cstheme="majorHAnsi"/>
          <w:b/>
          <w:sz w:val="28"/>
          <w:szCs w:val="28"/>
          <w:vertAlign w:val="superscript"/>
        </w:rPr>
        <w:t>2</w:t>
      </w:r>
    </w:p>
    <w:p w:rsidR="006A7313" w:rsidRDefault="006E1E85" w:rsidP="00415587">
      <w:pPr>
        <w:ind w:left="0" w:hanging="2"/>
        <w:jc w:val="center"/>
        <w:rPr>
          <w:rFonts w:asciiTheme="majorHAnsi" w:eastAsia="Calibri" w:hAnsiTheme="majorHAnsi" w:cstheme="majorHAnsi"/>
          <w:sz w:val="24"/>
          <w:szCs w:val="24"/>
        </w:rPr>
      </w:pPr>
      <w:r>
        <w:rPr>
          <w:rFonts w:asciiTheme="majorHAnsi" w:eastAsia="Calibri" w:hAnsiTheme="majorHAnsi" w:cstheme="majorHAnsi"/>
          <w:sz w:val="24"/>
          <w:szCs w:val="24"/>
          <w:vertAlign w:val="superscript"/>
        </w:rPr>
        <w:t>1</w:t>
      </w:r>
      <w:r w:rsidR="00B27225" w:rsidRPr="00877F28">
        <w:rPr>
          <w:rFonts w:asciiTheme="majorHAnsi" w:eastAsia="Calibri" w:hAnsiTheme="majorHAnsi" w:cstheme="majorHAnsi"/>
          <w:sz w:val="24"/>
          <w:szCs w:val="24"/>
        </w:rPr>
        <w:t xml:space="preserve">Universitas </w:t>
      </w:r>
      <w:proofErr w:type="spellStart"/>
      <w:r w:rsidR="00B27225" w:rsidRPr="00877F28">
        <w:rPr>
          <w:rFonts w:asciiTheme="majorHAnsi" w:eastAsia="Calibri" w:hAnsiTheme="majorHAnsi" w:cstheme="majorHAnsi"/>
          <w:sz w:val="24"/>
          <w:szCs w:val="24"/>
        </w:rPr>
        <w:t>Samudra</w:t>
      </w:r>
      <w:proofErr w:type="spellEnd"/>
      <w:r w:rsidR="00B27225" w:rsidRPr="00877F28">
        <w:rPr>
          <w:rFonts w:asciiTheme="majorHAnsi" w:eastAsia="Calibri" w:hAnsiTheme="majorHAnsi" w:cstheme="majorHAnsi"/>
          <w:sz w:val="24"/>
          <w:szCs w:val="24"/>
        </w:rPr>
        <w:t xml:space="preserve">, </w:t>
      </w:r>
      <w:proofErr w:type="spellStart"/>
      <w:r w:rsidR="00B27225" w:rsidRPr="00877F28">
        <w:rPr>
          <w:rFonts w:asciiTheme="majorHAnsi" w:eastAsia="Calibri" w:hAnsiTheme="majorHAnsi" w:cstheme="majorHAnsi"/>
          <w:sz w:val="24"/>
          <w:szCs w:val="24"/>
        </w:rPr>
        <w:t>Langsa</w:t>
      </w:r>
      <w:proofErr w:type="spellEnd"/>
      <w:r w:rsidR="00B27225" w:rsidRPr="00877F28">
        <w:rPr>
          <w:rFonts w:asciiTheme="majorHAnsi" w:eastAsia="Calibri" w:hAnsiTheme="majorHAnsi" w:cstheme="majorHAnsi"/>
          <w:sz w:val="24"/>
          <w:szCs w:val="24"/>
        </w:rPr>
        <w:t>, Aceh</w:t>
      </w:r>
    </w:p>
    <w:p w:rsidR="006E1E85" w:rsidRPr="00877F28" w:rsidRDefault="006E1E85" w:rsidP="00415587">
      <w:pPr>
        <w:ind w:left="0" w:hanging="2"/>
        <w:jc w:val="center"/>
        <w:rPr>
          <w:rFonts w:asciiTheme="majorHAnsi" w:eastAsia="Calibri" w:hAnsiTheme="majorHAnsi" w:cstheme="majorHAnsi"/>
        </w:rPr>
      </w:pPr>
      <w:r>
        <w:rPr>
          <w:rFonts w:asciiTheme="majorHAnsi" w:eastAsia="Calibri" w:hAnsiTheme="majorHAnsi" w:cstheme="majorHAnsi"/>
          <w:sz w:val="24"/>
          <w:szCs w:val="24"/>
          <w:vertAlign w:val="superscript"/>
        </w:rPr>
        <w:t>2</w:t>
      </w:r>
      <w:r w:rsidRPr="006E1E85">
        <w:rPr>
          <w:rFonts w:asciiTheme="majorHAnsi" w:eastAsia="Calibri" w:hAnsiTheme="majorHAnsi" w:cstheme="majorHAnsi"/>
          <w:sz w:val="24"/>
          <w:szCs w:val="24"/>
        </w:rPr>
        <w:t>Universitas</w:t>
      </w:r>
      <w:r>
        <w:rPr>
          <w:rFonts w:asciiTheme="majorHAnsi" w:eastAsia="Calibri" w:hAnsiTheme="majorHAnsi" w:cstheme="majorHAnsi"/>
          <w:sz w:val="24"/>
          <w:szCs w:val="24"/>
        </w:rPr>
        <w:t xml:space="preserve"> Islam Sumatera Utara, Medan, Sumatera Utara</w:t>
      </w:r>
    </w:p>
    <w:p w:rsidR="006A7313" w:rsidRPr="00877F28" w:rsidRDefault="000934A7" w:rsidP="00415587">
      <w:pPr>
        <w:ind w:left="0" w:hanging="2"/>
        <w:jc w:val="center"/>
        <w:rPr>
          <w:rFonts w:asciiTheme="majorHAnsi" w:eastAsia="Calibri" w:hAnsiTheme="majorHAnsi" w:cstheme="majorHAnsi"/>
          <w:sz w:val="24"/>
          <w:szCs w:val="24"/>
        </w:rPr>
      </w:pPr>
      <w:r w:rsidRPr="00877F28">
        <w:rPr>
          <w:rFonts w:asciiTheme="majorHAnsi" w:eastAsia="Calibri" w:hAnsiTheme="majorHAnsi" w:cstheme="majorHAnsi"/>
          <w:sz w:val="24"/>
          <w:szCs w:val="24"/>
        </w:rPr>
        <w:t xml:space="preserve">E-mail: </w:t>
      </w:r>
      <w:hyperlink r:id="rId9" w:history="1">
        <w:r w:rsidR="00B27225" w:rsidRPr="00877F28">
          <w:rPr>
            <w:rStyle w:val="Hyperlink"/>
            <w:rFonts w:asciiTheme="majorHAnsi" w:eastAsia="Calibri" w:hAnsiTheme="majorHAnsi" w:cstheme="majorHAnsi"/>
            <w:sz w:val="24"/>
            <w:szCs w:val="24"/>
          </w:rPr>
          <w:t>siskaekasyafitri@unsam.ac.id</w:t>
        </w:r>
      </w:hyperlink>
      <w:r w:rsidR="00B27225" w:rsidRPr="00877F28">
        <w:rPr>
          <w:rFonts w:asciiTheme="majorHAnsi" w:eastAsia="Calibri" w:hAnsiTheme="majorHAnsi" w:cstheme="majorHAnsi"/>
          <w:sz w:val="24"/>
          <w:szCs w:val="24"/>
        </w:rPr>
        <w:t xml:space="preserve"> (</w:t>
      </w:r>
      <w:r w:rsidRPr="00877F28">
        <w:rPr>
          <w:rFonts w:asciiTheme="majorHAnsi" w:eastAsia="Calibri" w:hAnsiTheme="majorHAnsi" w:cstheme="majorHAnsi"/>
          <w:sz w:val="24"/>
          <w:szCs w:val="24"/>
        </w:rPr>
        <w:t>Corresponding Email)</w:t>
      </w:r>
    </w:p>
    <w:p w:rsidR="006A7313" w:rsidRPr="00877F28" w:rsidRDefault="006A7313" w:rsidP="00415587">
      <w:pPr>
        <w:ind w:left="0" w:hanging="2"/>
        <w:jc w:val="center"/>
        <w:rPr>
          <w:rFonts w:asciiTheme="majorHAnsi" w:eastAsia="Calibri" w:hAnsiTheme="majorHAnsi" w:cstheme="majorHAnsi"/>
        </w:rPr>
      </w:pPr>
    </w:p>
    <w:p w:rsidR="006A7313" w:rsidRPr="00877F28" w:rsidRDefault="000934A7" w:rsidP="00415587">
      <w:pPr>
        <w:ind w:left="0" w:hanging="2"/>
        <w:rPr>
          <w:rFonts w:asciiTheme="majorHAnsi" w:eastAsia="Calibri" w:hAnsiTheme="majorHAnsi" w:cstheme="majorHAnsi"/>
          <w:sz w:val="24"/>
          <w:szCs w:val="24"/>
        </w:rPr>
      </w:pPr>
      <w:r w:rsidRPr="00877F28">
        <w:rPr>
          <w:rFonts w:asciiTheme="majorHAnsi" w:eastAsia="Calibri" w:hAnsiTheme="majorHAnsi" w:cstheme="majorHAnsi"/>
        </w:rPr>
        <w:t>Received:</w:t>
      </w:r>
      <w:r w:rsidRPr="00877F28">
        <w:rPr>
          <w:rFonts w:asciiTheme="majorHAnsi" w:eastAsia="Calibri" w:hAnsiTheme="majorHAnsi" w:cstheme="majorHAnsi"/>
          <w:sz w:val="24"/>
          <w:szCs w:val="24"/>
        </w:rPr>
        <w:tab/>
      </w:r>
      <w:r w:rsidRPr="00877F28">
        <w:rPr>
          <w:rFonts w:asciiTheme="majorHAnsi" w:eastAsia="Calibri" w:hAnsiTheme="majorHAnsi" w:cstheme="majorHAnsi"/>
          <w:sz w:val="24"/>
          <w:szCs w:val="24"/>
        </w:rPr>
        <w:tab/>
      </w:r>
      <w:r w:rsidRPr="00877F28">
        <w:rPr>
          <w:rFonts w:asciiTheme="majorHAnsi" w:eastAsia="Calibri" w:hAnsiTheme="majorHAnsi" w:cstheme="majorHAnsi"/>
          <w:sz w:val="24"/>
          <w:szCs w:val="24"/>
        </w:rPr>
        <w:tab/>
      </w:r>
      <w:r w:rsidRPr="00877F28">
        <w:rPr>
          <w:rFonts w:asciiTheme="majorHAnsi" w:eastAsia="Calibri" w:hAnsiTheme="majorHAnsi" w:cstheme="majorHAnsi"/>
          <w:sz w:val="24"/>
          <w:szCs w:val="24"/>
        </w:rPr>
        <w:tab/>
      </w:r>
      <w:r w:rsidRPr="00877F28">
        <w:rPr>
          <w:rFonts w:asciiTheme="majorHAnsi" w:eastAsia="Calibri" w:hAnsiTheme="majorHAnsi" w:cstheme="majorHAnsi"/>
          <w:sz w:val="24"/>
          <w:szCs w:val="24"/>
        </w:rPr>
        <w:tab/>
      </w:r>
      <w:r w:rsidRPr="00877F28">
        <w:rPr>
          <w:rFonts w:asciiTheme="majorHAnsi" w:eastAsia="Calibri" w:hAnsiTheme="majorHAnsi" w:cstheme="majorHAnsi"/>
        </w:rPr>
        <w:t xml:space="preserve">Accepted: </w:t>
      </w:r>
      <w:r w:rsidRPr="00877F28">
        <w:rPr>
          <w:rFonts w:asciiTheme="majorHAnsi" w:eastAsia="Calibri" w:hAnsiTheme="majorHAnsi" w:cstheme="majorHAnsi"/>
        </w:rPr>
        <w:tab/>
      </w:r>
      <w:r w:rsidRPr="00877F28">
        <w:rPr>
          <w:rFonts w:asciiTheme="majorHAnsi" w:eastAsia="Calibri" w:hAnsiTheme="majorHAnsi" w:cstheme="majorHAnsi"/>
        </w:rPr>
        <w:tab/>
      </w:r>
      <w:r w:rsidRPr="00877F28">
        <w:rPr>
          <w:rFonts w:asciiTheme="majorHAnsi" w:eastAsia="Calibri" w:hAnsiTheme="majorHAnsi" w:cstheme="majorHAnsi"/>
        </w:rPr>
        <w:tab/>
        <w:t>Published:</w:t>
      </w:r>
    </w:p>
    <w:p w:rsidR="006A7313" w:rsidRPr="00877F28" w:rsidRDefault="000934A7" w:rsidP="00415587">
      <w:pPr>
        <w:spacing w:before="4"/>
        <w:ind w:left="0" w:right="4" w:hanging="2"/>
        <w:jc w:val="center"/>
        <w:rPr>
          <w:rFonts w:asciiTheme="majorHAnsi" w:eastAsia="Calibri" w:hAnsiTheme="majorHAnsi" w:cstheme="majorHAnsi"/>
          <w:sz w:val="28"/>
          <w:szCs w:val="28"/>
        </w:rPr>
      </w:pPr>
      <w:r w:rsidRPr="00877F28">
        <w:rPr>
          <w:rFonts w:asciiTheme="majorHAnsi" w:eastAsia="Calibri" w:hAnsiTheme="majorHAnsi" w:cstheme="majorHAnsi"/>
          <w:b/>
          <w:color w:val="001F5F"/>
          <w:sz w:val="22"/>
          <w:szCs w:val="22"/>
        </w:rPr>
        <w:t xml:space="preserve"> </w:t>
      </w:r>
      <w:r w:rsidRPr="00877F28">
        <w:rPr>
          <w:rFonts w:asciiTheme="majorHAnsi" w:eastAsia="Calibri" w:hAnsiTheme="majorHAnsi" w:cstheme="majorHAnsi"/>
          <w:b/>
          <w:color w:val="000000"/>
          <w:sz w:val="28"/>
          <w:szCs w:val="28"/>
        </w:rPr>
        <w:t xml:space="preserve">Abstract </w:t>
      </w:r>
    </w:p>
    <w:p w:rsidR="00B27225" w:rsidRPr="00877F28" w:rsidRDefault="00B85AB2" w:rsidP="00B27225">
      <w:pPr>
        <w:ind w:leftChars="424" w:left="850" w:right="851" w:hanging="2"/>
        <w:jc w:val="both"/>
        <w:rPr>
          <w:rFonts w:asciiTheme="majorHAnsi" w:eastAsia="Calibri" w:hAnsiTheme="majorHAnsi" w:cstheme="majorHAnsi"/>
          <w:color w:val="0000FF"/>
        </w:rPr>
      </w:pPr>
      <w:r w:rsidRPr="00877F28">
        <w:rPr>
          <w:rFonts w:asciiTheme="majorHAnsi" w:hAnsiTheme="majorHAnsi" w:cstheme="majorHAnsi"/>
          <w:sz w:val="24"/>
          <w:szCs w:val="24"/>
        </w:rPr>
        <w:t xml:space="preserve">This study analyzes Indonesia’s Independence Day slogans from 2015 to 2025 through Halliday’s Systemic Functional Linguistics, focusing on the interpersonal </w:t>
      </w:r>
      <w:proofErr w:type="spellStart"/>
      <w:r w:rsidRPr="00877F28">
        <w:rPr>
          <w:rFonts w:asciiTheme="majorHAnsi" w:hAnsiTheme="majorHAnsi" w:cstheme="majorHAnsi"/>
          <w:sz w:val="24"/>
          <w:szCs w:val="24"/>
        </w:rPr>
        <w:t>metafunction</w:t>
      </w:r>
      <w:proofErr w:type="spellEnd"/>
      <w:r w:rsidRPr="00877F28">
        <w:rPr>
          <w:rFonts w:asciiTheme="majorHAnsi" w:hAnsiTheme="majorHAnsi" w:cstheme="majorHAnsi"/>
          <w:sz w:val="24"/>
          <w:szCs w:val="24"/>
        </w:rPr>
        <w:t xml:space="preserve">. As annual commemorative texts, the slogans serve not only as symbolic expressions of independence but also as strategic discourses that negotiate power, construct solidarity, and reinforce national identity. Using a qualitative discourse analysis, the research examines mood, modality, pronoun usage, evaluative lexis, and the interaction of explicit and implicit meanings. The findings reveal that declarative and imperative moods are employed to position citizens in a relationship of inclusivity and responsibility, while modality encodes urgency and commitment. Evaluative vocabulary projects optimism and resilience, with explicit meanings emphasizing productivity, recovery, and progress, and implicit layers linking contemporary challenges to historical struggles and the long-term vision of Indonesia </w:t>
      </w:r>
      <w:proofErr w:type="spellStart"/>
      <w:r w:rsidRPr="00877F28">
        <w:rPr>
          <w:rFonts w:asciiTheme="majorHAnsi" w:hAnsiTheme="majorHAnsi" w:cstheme="majorHAnsi"/>
          <w:sz w:val="24"/>
          <w:szCs w:val="24"/>
        </w:rPr>
        <w:t>Emas</w:t>
      </w:r>
      <w:proofErr w:type="spellEnd"/>
      <w:r w:rsidRPr="00877F28">
        <w:rPr>
          <w:rFonts w:asciiTheme="majorHAnsi" w:hAnsiTheme="majorHAnsi" w:cstheme="majorHAnsi"/>
          <w:sz w:val="24"/>
          <w:szCs w:val="24"/>
        </w:rPr>
        <w:t xml:space="preserve"> 2045. The study concludes that Independence Day slogans function as condensed ideological texts that bridge past sacrifices with future aspirations, demonstrating the discursive power of language in shaping nationalism and offering practical insights for crafting effective national slogans</w:t>
      </w:r>
      <w:r w:rsidR="005002B2">
        <w:rPr>
          <w:rFonts w:asciiTheme="majorHAnsi" w:hAnsiTheme="majorHAnsi" w:cstheme="majorHAnsi"/>
        </w:rPr>
        <w:t>.</w:t>
      </w:r>
      <w:bookmarkStart w:id="0" w:name="_GoBack"/>
      <w:bookmarkEnd w:id="0"/>
    </w:p>
    <w:p w:rsidR="006A7313" w:rsidRPr="00877F28" w:rsidRDefault="000934A7" w:rsidP="00415587">
      <w:pPr>
        <w:ind w:left="0" w:hanging="2"/>
        <w:jc w:val="both"/>
        <w:rPr>
          <w:rFonts w:asciiTheme="majorHAnsi" w:eastAsia="Calibri" w:hAnsiTheme="majorHAnsi" w:cstheme="majorHAnsi"/>
          <w:color w:val="000000"/>
        </w:rPr>
      </w:pPr>
      <w:r w:rsidRPr="00877F28">
        <w:rPr>
          <w:rFonts w:asciiTheme="majorHAnsi" w:eastAsia="Calibri" w:hAnsiTheme="majorHAnsi" w:cstheme="majorHAnsi"/>
          <w:i/>
          <w:color w:val="000000"/>
        </w:rPr>
        <w:t> </w:t>
      </w:r>
    </w:p>
    <w:p w:rsidR="006A7313" w:rsidRPr="00877F28" w:rsidRDefault="000934A7" w:rsidP="00415587">
      <w:pPr>
        <w:ind w:left="0" w:hanging="2"/>
        <w:rPr>
          <w:rFonts w:asciiTheme="majorHAnsi" w:eastAsia="Calibri" w:hAnsiTheme="majorHAnsi" w:cstheme="majorHAnsi"/>
          <w:color w:val="000000"/>
          <w:sz w:val="24"/>
          <w:szCs w:val="24"/>
        </w:rPr>
      </w:pPr>
      <w:r w:rsidRPr="00877F28">
        <w:rPr>
          <w:rFonts w:asciiTheme="majorHAnsi" w:eastAsia="Calibri" w:hAnsiTheme="majorHAnsi" w:cstheme="majorHAnsi"/>
          <w:b/>
          <w:color w:val="000000"/>
          <w:sz w:val="24"/>
          <w:szCs w:val="24"/>
        </w:rPr>
        <w:t>Keywords</w:t>
      </w:r>
      <w:r w:rsidRPr="00877F28">
        <w:rPr>
          <w:rFonts w:asciiTheme="majorHAnsi" w:eastAsia="Calibri" w:hAnsiTheme="majorHAnsi" w:cstheme="majorHAnsi"/>
          <w:color w:val="000000"/>
          <w:sz w:val="24"/>
          <w:szCs w:val="24"/>
        </w:rPr>
        <w:t>:</w:t>
      </w:r>
      <w:r w:rsidR="00B27225" w:rsidRPr="00877F28">
        <w:rPr>
          <w:rFonts w:asciiTheme="majorHAnsi" w:hAnsiTheme="majorHAnsi" w:cstheme="majorHAnsi"/>
          <w:sz w:val="24"/>
          <w:szCs w:val="24"/>
        </w:rPr>
        <w:t xml:space="preserve"> SFL</w:t>
      </w:r>
      <w:r w:rsidR="00B85AB2" w:rsidRPr="00877F28">
        <w:rPr>
          <w:rFonts w:asciiTheme="majorHAnsi" w:hAnsiTheme="majorHAnsi" w:cstheme="majorHAnsi"/>
          <w:sz w:val="24"/>
          <w:szCs w:val="24"/>
        </w:rPr>
        <w:t xml:space="preserve">; Interpersonal </w:t>
      </w:r>
      <w:proofErr w:type="spellStart"/>
      <w:r w:rsidR="00B85AB2" w:rsidRPr="00877F28">
        <w:rPr>
          <w:rFonts w:asciiTheme="majorHAnsi" w:hAnsiTheme="majorHAnsi" w:cstheme="majorHAnsi"/>
          <w:sz w:val="24"/>
          <w:szCs w:val="24"/>
        </w:rPr>
        <w:t>Metafunction</w:t>
      </w:r>
      <w:proofErr w:type="spellEnd"/>
      <w:r w:rsidR="00B85AB2" w:rsidRPr="00877F28">
        <w:rPr>
          <w:rFonts w:asciiTheme="majorHAnsi" w:hAnsiTheme="majorHAnsi" w:cstheme="majorHAnsi"/>
          <w:sz w:val="24"/>
          <w:szCs w:val="24"/>
        </w:rPr>
        <w:t xml:space="preserve">; I </w:t>
      </w:r>
      <w:proofErr w:type="spellStart"/>
      <w:r w:rsidR="00B85AB2" w:rsidRPr="00877F28">
        <w:rPr>
          <w:rFonts w:asciiTheme="majorHAnsi" w:hAnsiTheme="majorHAnsi" w:cstheme="majorHAnsi"/>
          <w:sz w:val="24"/>
          <w:szCs w:val="24"/>
        </w:rPr>
        <w:t>ndependence</w:t>
      </w:r>
      <w:proofErr w:type="spellEnd"/>
      <w:r w:rsidR="00B85AB2" w:rsidRPr="00877F28">
        <w:rPr>
          <w:rFonts w:asciiTheme="majorHAnsi" w:hAnsiTheme="majorHAnsi" w:cstheme="majorHAnsi"/>
          <w:sz w:val="24"/>
          <w:szCs w:val="24"/>
        </w:rPr>
        <w:t xml:space="preserve"> Day Slogans; National Identity</w:t>
      </w:r>
    </w:p>
    <w:p w:rsidR="006A7313" w:rsidRPr="00877F28" w:rsidRDefault="006A7313" w:rsidP="00415587">
      <w:pPr>
        <w:ind w:left="0" w:hanging="2"/>
        <w:jc w:val="both"/>
        <w:rPr>
          <w:rFonts w:asciiTheme="majorHAnsi" w:eastAsia="Calibri" w:hAnsiTheme="majorHAnsi" w:cstheme="majorHAnsi"/>
        </w:rPr>
      </w:pPr>
    </w:p>
    <w:p w:rsidR="006A7313" w:rsidRPr="00877F28" w:rsidRDefault="000934A7" w:rsidP="00415587">
      <w:pPr>
        <w:numPr>
          <w:ilvl w:val="0"/>
          <w:numId w:val="2"/>
        </w:numPr>
        <w:ind w:left="1" w:hanging="3"/>
        <w:rPr>
          <w:rFonts w:asciiTheme="majorHAnsi" w:eastAsia="Calibri" w:hAnsiTheme="majorHAnsi" w:cstheme="majorHAnsi"/>
          <w:sz w:val="28"/>
          <w:szCs w:val="28"/>
        </w:rPr>
      </w:pPr>
      <w:r w:rsidRPr="00877F28">
        <w:rPr>
          <w:rFonts w:asciiTheme="majorHAnsi" w:eastAsia="Calibri" w:hAnsiTheme="majorHAnsi" w:cstheme="majorHAnsi"/>
          <w:b/>
          <w:sz w:val="28"/>
          <w:szCs w:val="28"/>
        </w:rPr>
        <w:t>Introduction</w:t>
      </w:r>
    </w:p>
    <w:p w:rsidR="00833691" w:rsidRPr="00877F28" w:rsidRDefault="00833691" w:rsidP="00665334">
      <w:pPr>
        <w:pStyle w:val="NormalWeb"/>
        <w:spacing w:before="0" w:beforeAutospacing="0" w:after="0" w:afterAutospacing="0"/>
        <w:ind w:left="0" w:hanging="2"/>
        <w:jc w:val="both"/>
        <w:rPr>
          <w:rFonts w:asciiTheme="majorHAnsi" w:hAnsiTheme="majorHAnsi" w:cstheme="majorHAnsi"/>
          <w:position w:val="0"/>
        </w:rPr>
      </w:pPr>
      <w:r w:rsidRPr="00877F28">
        <w:rPr>
          <w:rFonts w:asciiTheme="majorHAnsi" w:hAnsiTheme="majorHAnsi" w:cstheme="majorHAnsi"/>
        </w:rPr>
        <w:t xml:space="preserve"> </w:t>
      </w:r>
      <w:r w:rsidRPr="00877F28">
        <w:rPr>
          <w:rFonts w:asciiTheme="majorHAnsi" w:hAnsiTheme="majorHAnsi" w:cstheme="majorHAnsi"/>
          <w:position w:val="0"/>
        </w:rPr>
        <w:t>Language constitutes a fundamental resource for constructing collective identity and articulating values that unify a community. Within the national sphere, seemingly simple linguistic forms such as slogans function not merely as textual ornaments but as strategic discourses that promote solidarity, cultivate patriotic sentiment, and align citizens with shared aspirations. In Indonesia, Independence Day slogans are produced annually by the government and disseminated through public spaces and mass media as part of the commemoration of national independence. These slogans encapsulate both historical remembrance and forward-looking aspirations, thereby serving as symbolic instruments through which language reinforces national consciousness.</w:t>
      </w:r>
      <w:r w:rsidR="00877F28">
        <w:rPr>
          <w:rFonts w:asciiTheme="majorHAnsi" w:hAnsiTheme="majorHAnsi" w:cstheme="majorHAnsi"/>
          <w:position w:val="0"/>
        </w:rPr>
        <w:t xml:space="preserve"> </w:t>
      </w:r>
      <w:r w:rsidR="00877F28" w:rsidRPr="00877F28">
        <w:rPr>
          <w:rFonts w:asciiTheme="majorHAnsi" w:hAnsiTheme="majorHAnsi" w:cstheme="majorHAnsi"/>
        </w:rPr>
        <w:t>In a wider sense, language shapes meaning and influences audiences, especially in public texts such as slogans and brochures. Analyzing language in this way uncovers the hidden strategies behind how information is presented and how audiences are persuaded</w:t>
      </w:r>
      <w:r w:rsidR="00877F28">
        <w:rPr>
          <w:rFonts w:asciiTheme="majorHAnsi" w:hAnsiTheme="majorHAnsi" w:cstheme="majorHAnsi"/>
        </w:rPr>
        <w:t xml:space="preserve"> </w:t>
      </w:r>
      <w:r w:rsidR="00877F28">
        <w:rPr>
          <w:rFonts w:asciiTheme="majorHAnsi" w:hAnsiTheme="majorHAnsi" w:cstheme="majorHAnsi"/>
        </w:rPr>
        <w:fldChar w:fldCharType="begin" w:fldLock="1"/>
      </w:r>
      <w:r w:rsidR="00877F28">
        <w:rPr>
          <w:rFonts w:asciiTheme="majorHAnsi" w:hAnsiTheme="majorHAnsi" w:cstheme="majorHAnsi"/>
        </w:rPr>
        <w:instrText>ADDIN CSL_CITATION {"citationItems":[{"id":"ITEM-1","itemData":{"author":[{"dropping-particle":"","family":"Syafitri","given":"Siska Eka; Purwati","non-dropping-particle":"","parse-names":false,"suffix":""}],"container-title":"Language Literacy: Journal of Linguistics, Literature, and Language Teaching","id":"ITEM-1","issue":"1","issued":{"date-parts":[["2025"]]},"page":"114-124","title":"Interpersonal Metafunction in Preschool Enrollment Brochures : A SFL Analysis in Langsa","type":"article-journal","volume":"9"},"uris":["http://www.mendeley.com/documents/?uuid=f46fbd03-080f-4d29-8f74-d24c7eb6869e"]}],"mendeley":{"formattedCitation":"(Syafitri, 2025)","plainTextFormattedCitation":"(Syafitri, 2025)","previouslyFormattedCitation":"(Syafitri, 2025)"},"properties":{"noteIndex":0},"schema":"https://github.com/citation-style-language/schema/raw/master/csl-citation.json"}</w:instrText>
      </w:r>
      <w:r w:rsidR="00877F28">
        <w:rPr>
          <w:rFonts w:asciiTheme="majorHAnsi" w:hAnsiTheme="majorHAnsi" w:cstheme="majorHAnsi"/>
        </w:rPr>
        <w:fldChar w:fldCharType="separate"/>
      </w:r>
      <w:r w:rsidR="00877F28" w:rsidRPr="00877F28">
        <w:rPr>
          <w:rFonts w:asciiTheme="majorHAnsi" w:hAnsiTheme="majorHAnsi" w:cstheme="majorHAnsi"/>
          <w:noProof/>
        </w:rPr>
        <w:t>(Syafitri, 2025)</w:t>
      </w:r>
      <w:r w:rsidR="00877F28">
        <w:rPr>
          <w:rFonts w:asciiTheme="majorHAnsi" w:hAnsiTheme="majorHAnsi" w:cstheme="majorHAnsi"/>
        </w:rPr>
        <w:fldChar w:fldCharType="end"/>
      </w:r>
      <w:r w:rsidR="00877F28" w:rsidRPr="00877F28">
        <w:rPr>
          <w:rFonts w:asciiTheme="majorHAnsi" w:hAnsiTheme="majorHAnsi" w:cstheme="majorHAnsi"/>
        </w:rPr>
        <w:t>.</w:t>
      </w:r>
    </w:p>
    <w:p w:rsidR="00665334" w:rsidRPr="00877F28" w:rsidRDefault="00665334" w:rsidP="00665334">
      <w:pPr>
        <w:pStyle w:val="NormalWeb"/>
        <w:spacing w:before="0" w:beforeAutospacing="0" w:after="0" w:afterAutospacing="0"/>
        <w:ind w:left="0" w:hanging="2"/>
        <w:jc w:val="both"/>
        <w:rPr>
          <w:rFonts w:asciiTheme="majorHAnsi" w:hAnsiTheme="majorHAnsi" w:cstheme="majorHAnsi"/>
          <w:position w:val="0"/>
        </w:rPr>
      </w:pPr>
    </w:p>
    <w:tbl>
      <w:tblPr>
        <w:tblStyle w:val="TableGrid"/>
        <w:tblW w:w="0" w:type="auto"/>
        <w:tblLook w:val="04A0" w:firstRow="1" w:lastRow="0" w:firstColumn="1" w:lastColumn="0" w:noHBand="0" w:noVBand="1"/>
      </w:tblPr>
      <w:tblGrid>
        <w:gridCol w:w="2545"/>
        <w:gridCol w:w="3018"/>
        <w:gridCol w:w="3498"/>
      </w:tblGrid>
      <w:tr w:rsidR="00665334" w:rsidRPr="00877F28" w:rsidTr="00F31649">
        <w:tc>
          <w:tcPr>
            <w:tcW w:w="0" w:type="auto"/>
            <w:hideMark/>
          </w:tcPr>
          <w:p w:rsidR="00665334" w:rsidRPr="00877F28" w:rsidRDefault="00665334" w:rsidP="00F31649">
            <w:pPr>
              <w:ind w:left="0" w:hanging="2"/>
              <w:jc w:val="center"/>
              <w:rPr>
                <w:rFonts w:asciiTheme="majorHAnsi" w:hAnsiTheme="majorHAnsi" w:cstheme="majorHAnsi"/>
                <w:b/>
                <w:bCs/>
              </w:rPr>
            </w:pPr>
            <w:r w:rsidRPr="00877F28">
              <w:rPr>
                <w:rFonts w:asciiTheme="majorHAnsi" w:hAnsiTheme="majorHAnsi" w:cstheme="majorHAnsi"/>
                <w:b/>
                <w:bCs/>
              </w:rPr>
              <w:t>Year (Independence Day Anniversary)</w:t>
            </w:r>
          </w:p>
        </w:tc>
        <w:tc>
          <w:tcPr>
            <w:tcW w:w="0" w:type="auto"/>
            <w:hideMark/>
          </w:tcPr>
          <w:p w:rsidR="00665334" w:rsidRPr="00877F28" w:rsidRDefault="00665334" w:rsidP="00F31649">
            <w:pPr>
              <w:ind w:left="0" w:hanging="2"/>
              <w:jc w:val="center"/>
              <w:rPr>
                <w:rFonts w:asciiTheme="majorHAnsi" w:hAnsiTheme="majorHAnsi" w:cstheme="majorHAnsi"/>
                <w:b/>
                <w:bCs/>
              </w:rPr>
            </w:pPr>
            <w:r w:rsidRPr="00877F28">
              <w:rPr>
                <w:rFonts w:asciiTheme="majorHAnsi" w:hAnsiTheme="majorHAnsi" w:cstheme="majorHAnsi"/>
                <w:b/>
                <w:bCs/>
              </w:rPr>
              <w:t>Indonesian Slogan</w:t>
            </w:r>
          </w:p>
        </w:tc>
        <w:tc>
          <w:tcPr>
            <w:tcW w:w="0" w:type="auto"/>
            <w:hideMark/>
          </w:tcPr>
          <w:p w:rsidR="00665334" w:rsidRPr="00877F28" w:rsidRDefault="00665334" w:rsidP="00F31649">
            <w:pPr>
              <w:ind w:left="0" w:hanging="2"/>
              <w:jc w:val="center"/>
              <w:rPr>
                <w:rFonts w:asciiTheme="majorHAnsi" w:hAnsiTheme="majorHAnsi" w:cstheme="majorHAnsi"/>
                <w:b/>
                <w:bCs/>
              </w:rPr>
            </w:pPr>
            <w:r w:rsidRPr="00877F28">
              <w:rPr>
                <w:rFonts w:asciiTheme="majorHAnsi" w:hAnsiTheme="majorHAnsi" w:cstheme="majorHAnsi"/>
                <w:b/>
                <w:bCs/>
              </w:rPr>
              <w:t>English Translation</w:t>
            </w:r>
          </w:p>
        </w:tc>
      </w:tr>
      <w:tr w:rsidR="00665334" w:rsidRPr="00877F28" w:rsidTr="00F31649">
        <w:tc>
          <w:tcPr>
            <w:tcW w:w="0" w:type="auto"/>
            <w:hideMark/>
          </w:tcPr>
          <w:p w:rsidR="00665334" w:rsidRPr="00877F28" w:rsidRDefault="00665334" w:rsidP="00F31649">
            <w:pPr>
              <w:ind w:left="0" w:hanging="2"/>
              <w:rPr>
                <w:rFonts w:asciiTheme="majorHAnsi" w:hAnsiTheme="majorHAnsi" w:cstheme="majorHAnsi"/>
              </w:rPr>
            </w:pPr>
            <w:r w:rsidRPr="00877F28">
              <w:rPr>
                <w:rFonts w:asciiTheme="majorHAnsi" w:hAnsiTheme="majorHAnsi" w:cstheme="majorHAnsi"/>
                <w:b/>
                <w:bCs/>
              </w:rPr>
              <w:t>70th (2015)</w:t>
            </w:r>
          </w:p>
        </w:tc>
        <w:tc>
          <w:tcPr>
            <w:tcW w:w="0" w:type="auto"/>
            <w:hideMark/>
          </w:tcPr>
          <w:p w:rsidR="00665334" w:rsidRPr="00877F28" w:rsidRDefault="00665334" w:rsidP="00F31649">
            <w:pPr>
              <w:ind w:left="0" w:hanging="2"/>
              <w:rPr>
                <w:rFonts w:asciiTheme="majorHAnsi" w:hAnsiTheme="majorHAnsi" w:cstheme="majorHAnsi"/>
              </w:rPr>
            </w:pPr>
            <w:r w:rsidRPr="00877F28">
              <w:rPr>
                <w:rFonts w:asciiTheme="majorHAnsi" w:hAnsiTheme="majorHAnsi" w:cstheme="majorHAnsi"/>
              </w:rPr>
              <w:t xml:space="preserve">Ayo </w:t>
            </w:r>
            <w:proofErr w:type="spellStart"/>
            <w:r w:rsidRPr="00877F28">
              <w:rPr>
                <w:rFonts w:asciiTheme="majorHAnsi" w:hAnsiTheme="majorHAnsi" w:cstheme="majorHAnsi"/>
              </w:rPr>
              <w:t>Kerja</w:t>
            </w:r>
            <w:proofErr w:type="spellEnd"/>
          </w:p>
        </w:tc>
        <w:tc>
          <w:tcPr>
            <w:tcW w:w="0" w:type="auto"/>
            <w:hideMark/>
          </w:tcPr>
          <w:p w:rsidR="00665334" w:rsidRPr="00877F28" w:rsidRDefault="00665334" w:rsidP="00F31649">
            <w:pPr>
              <w:ind w:left="0" w:hanging="2"/>
              <w:rPr>
                <w:rFonts w:asciiTheme="majorHAnsi" w:hAnsiTheme="majorHAnsi" w:cstheme="majorHAnsi"/>
              </w:rPr>
            </w:pPr>
            <w:r w:rsidRPr="00877F28">
              <w:rPr>
                <w:rFonts w:asciiTheme="majorHAnsi" w:hAnsiTheme="majorHAnsi" w:cstheme="majorHAnsi"/>
                <w:i/>
                <w:iCs/>
              </w:rPr>
              <w:t>Let’s Work</w:t>
            </w:r>
          </w:p>
        </w:tc>
      </w:tr>
      <w:tr w:rsidR="00665334" w:rsidRPr="00877F28" w:rsidTr="00F31649">
        <w:tc>
          <w:tcPr>
            <w:tcW w:w="0" w:type="auto"/>
            <w:hideMark/>
          </w:tcPr>
          <w:p w:rsidR="00665334" w:rsidRPr="00877F28" w:rsidRDefault="00665334" w:rsidP="00F31649">
            <w:pPr>
              <w:ind w:left="0" w:hanging="2"/>
              <w:rPr>
                <w:rFonts w:asciiTheme="majorHAnsi" w:hAnsiTheme="majorHAnsi" w:cstheme="majorHAnsi"/>
              </w:rPr>
            </w:pPr>
            <w:r w:rsidRPr="00877F28">
              <w:rPr>
                <w:rFonts w:asciiTheme="majorHAnsi" w:hAnsiTheme="majorHAnsi" w:cstheme="majorHAnsi"/>
                <w:b/>
                <w:bCs/>
              </w:rPr>
              <w:t>71st (2016)</w:t>
            </w:r>
          </w:p>
        </w:tc>
        <w:tc>
          <w:tcPr>
            <w:tcW w:w="0" w:type="auto"/>
            <w:hideMark/>
          </w:tcPr>
          <w:p w:rsidR="00665334" w:rsidRPr="00877F28" w:rsidRDefault="00665334" w:rsidP="00F31649">
            <w:pPr>
              <w:ind w:left="0" w:hanging="2"/>
              <w:rPr>
                <w:rFonts w:asciiTheme="majorHAnsi" w:hAnsiTheme="majorHAnsi" w:cstheme="majorHAnsi"/>
              </w:rPr>
            </w:pPr>
            <w:proofErr w:type="spellStart"/>
            <w:r w:rsidRPr="00877F28">
              <w:rPr>
                <w:rFonts w:asciiTheme="majorHAnsi" w:hAnsiTheme="majorHAnsi" w:cstheme="majorHAnsi"/>
              </w:rPr>
              <w:t>Kerja</w:t>
            </w:r>
            <w:proofErr w:type="spellEnd"/>
            <w:r w:rsidRPr="00877F28">
              <w:rPr>
                <w:rFonts w:asciiTheme="majorHAnsi" w:hAnsiTheme="majorHAnsi" w:cstheme="majorHAnsi"/>
              </w:rPr>
              <w:t xml:space="preserve"> </w:t>
            </w:r>
            <w:proofErr w:type="spellStart"/>
            <w:r w:rsidRPr="00877F28">
              <w:rPr>
                <w:rFonts w:asciiTheme="majorHAnsi" w:hAnsiTheme="majorHAnsi" w:cstheme="majorHAnsi"/>
              </w:rPr>
              <w:t>Nyata</w:t>
            </w:r>
            <w:proofErr w:type="spellEnd"/>
          </w:p>
        </w:tc>
        <w:tc>
          <w:tcPr>
            <w:tcW w:w="0" w:type="auto"/>
            <w:hideMark/>
          </w:tcPr>
          <w:p w:rsidR="00665334" w:rsidRPr="00877F28" w:rsidRDefault="00665334" w:rsidP="00F31649">
            <w:pPr>
              <w:ind w:left="0" w:hanging="2"/>
              <w:rPr>
                <w:rFonts w:asciiTheme="majorHAnsi" w:hAnsiTheme="majorHAnsi" w:cstheme="majorHAnsi"/>
              </w:rPr>
            </w:pPr>
            <w:r w:rsidRPr="00877F28">
              <w:rPr>
                <w:rFonts w:asciiTheme="majorHAnsi" w:hAnsiTheme="majorHAnsi" w:cstheme="majorHAnsi"/>
                <w:i/>
                <w:iCs/>
              </w:rPr>
              <w:t>Real Work</w:t>
            </w:r>
          </w:p>
        </w:tc>
      </w:tr>
      <w:tr w:rsidR="00665334" w:rsidRPr="00877F28" w:rsidTr="00F31649">
        <w:tc>
          <w:tcPr>
            <w:tcW w:w="0" w:type="auto"/>
            <w:hideMark/>
          </w:tcPr>
          <w:p w:rsidR="00665334" w:rsidRPr="00877F28" w:rsidRDefault="00665334" w:rsidP="00F31649">
            <w:pPr>
              <w:ind w:left="0" w:hanging="2"/>
              <w:rPr>
                <w:rFonts w:asciiTheme="majorHAnsi" w:hAnsiTheme="majorHAnsi" w:cstheme="majorHAnsi"/>
              </w:rPr>
            </w:pPr>
            <w:r w:rsidRPr="00877F28">
              <w:rPr>
                <w:rFonts w:asciiTheme="majorHAnsi" w:hAnsiTheme="majorHAnsi" w:cstheme="majorHAnsi"/>
                <w:b/>
                <w:bCs/>
              </w:rPr>
              <w:t>72nd (2017)</w:t>
            </w:r>
          </w:p>
        </w:tc>
        <w:tc>
          <w:tcPr>
            <w:tcW w:w="0" w:type="auto"/>
            <w:hideMark/>
          </w:tcPr>
          <w:p w:rsidR="00665334" w:rsidRPr="00877F28" w:rsidRDefault="00665334" w:rsidP="00F31649">
            <w:pPr>
              <w:ind w:left="0" w:hanging="2"/>
              <w:rPr>
                <w:rFonts w:asciiTheme="majorHAnsi" w:hAnsiTheme="majorHAnsi" w:cstheme="majorHAnsi"/>
              </w:rPr>
            </w:pPr>
            <w:proofErr w:type="spellStart"/>
            <w:r w:rsidRPr="00877F28">
              <w:rPr>
                <w:rFonts w:asciiTheme="majorHAnsi" w:hAnsiTheme="majorHAnsi" w:cstheme="majorHAnsi"/>
              </w:rPr>
              <w:t>Kerja</w:t>
            </w:r>
            <w:proofErr w:type="spellEnd"/>
            <w:r w:rsidRPr="00877F28">
              <w:rPr>
                <w:rFonts w:asciiTheme="majorHAnsi" w:hAnsiTheme="majorHAnsi" w:cstheme="majorHAnsi"/>
              </w:rPr>
              <w:t xml:space="preserve"> </w:t>
            </w:r>
            <w:proofErr w:type="spellStart"/>
            <w:r w:rsidRPr="00877F28">
              <w:rPr>
                <w:rFonts w:asciiTheme="majorHAnsi" w:hAnsiTheme="majorHAnsi" w:cstheme="majorHAnsi"/>
              </w:rPr>
              <w:t>Bersama</w:t>
            </w:r>
            <w:proofErr w:type="spellEnd"/>
          </w:p>
        </w:tc>
        <w:tc>
          <w:tcPr>
            <w:tcW w:w="0" w:type="auto"/>
            <w:hideMark/>
          </w:tcPr>
          <w:p w:rsidR="00665334" w:rsidRPr="00877F28" w:rsidRDefault="00665334" w:rsidP="00F31649">
            <w:pPr>
              <w:ind w:left="0" w:hanging="2"/>
              <w:rPr>
                <w:rFonts w:asciiTheme="majorHAnsi" w:hAnsiTheme="majorHAnsi" w:cstheme="majorHAnsi"/>
              </w:rPr>
            </w:pPr>
            <w:r w:rsidRPr="00877F28">
              <w:rPr>
                <w:rFonts w:asciiTheme="majorHAnsi" w:hAnsiTheme="majorHAnsi" w:cstheme="majorHAnsi"/>
                <w:i/>
                <w:iCs/>
              </w:rPr>
              <w:t>Working Together</w:t>
            </w:r>
          </w:p>
        </w:tc>
      </w:tr>
      <w:tr w:rsidR="00665334" w:rsidRPr="00877F28" w:rsidTr="00F31649">
        <w:tc>
          <w:tcPr>
            <w:tcW w:w="0" w:type="auto"/>
            <w:hideMark/>
          </w:tcPr>
          <w:p w:rsidR="00665334" w:rsidRPr="00877F28" w:rsidRDefault="00665334" w:rsidP="00F31649">
            <w:pPr>
              <w:ind w:left="0" w:hanging="2"/>
              <w:rPr>
                <w:rFonts w:asciiTheme="majorHAnsi" w:hAnsiTheme="majorHAnsi" w:cstheme="majorHAnsi"/>
              </w:rPr>
            </w:pPr>
            <w:r w:rsidRPr="00877F28">
              <w:rPr>
                <w:rFonts w:asciiTheme="majorHAnsi" w:hAnsiTheme="majorHAnsi" w:cstheme="majorHAnsi"/>
                <w:b/>
                <w:bCs/>
              </w:rPr>
              <w:t>73rd (2018)</w:t>
            </w:r>
          </w:p>
        </w:tc>
        <w:tc>
          <w:tcPr>
            <w:tcW w:w="0" w:type="auto"/>
            <w:hideMark/>
          </w:tcPr>
          <w:p w:rsidR="00665334" w:rsidRPr="00877F28" w:rsidRDefault="00665334" w:rsidP="00F31649">
            <w:pPr>
              <w:ind w:left="0" w:hanging="2"/>
              <w:rPr>
                <w:rFonts w:asciiTheme="majorHAnsi" w:hAnsiTheme="majorHAnsi" w:cstheme="majorHAnsi"/>
              </w:rPr>
            </w:pPr>
            <w:proofErr w:type="spellStart"/>
            <w:r w:rsidRPr="00877F28">
              <w:rPr>
                <w:rFonts w:asciiTheme="majorHAnsi" w:hAnsiTheme="majorHAnsi" w:cstheme="majorHAnsi"/>
              </w:rPr>
              <w:t>Kerja</w:t>
            </w:r>
            <w:proofErr w:type="spellEnd"/>
            <w:r w:rsidRPr="00877F28">
              <w:rPr>
                <w:rFonts w:asciiTheme="majorHAnsi" w:hAnsiTheme="majorHAnsi" w:cstheme="majorHAnsi"/>
              </w:rPr>
              <w:t xml:space="preserve"> Kita, </w:t>
            </w:r>
            <w:proofErr w:type="spellStart"/>
            <w:r w:rsidRPr="00877F28">
              <w:rPr>
                <w:rFonts w:asciiTheme="majorHAnsi" w:hAnsiTheme="majorHAnsi" w:cstheme="majorHAnsi"/>
              </w:rPr>
              <w:t>Prestasi</w:t>
            </w:r>
            <w:proofErr w:type="spellEnd"/>
            <w:r w:rsidRPr="00877F28">
              <w:rPr>
                <w:rFonts w:asciiTheme="majorHAnsi" w:hAnsiTheme="majorHAnsi" w:cstheme="majorHAnsi"/>
              </w:rPr>
              <w:t xml:space="preserve"> </w:t>
            </w:r>
            <w:proofErr w:type="spellStart"/>
            <w:r w:rsidRPr="00877F28">
              <w:rPr>
                <w:rFonts w:asciiTheme="majorHAnsi" w:hAnsiTheme="majorHAnsi" w:cstheme="majorHAnsi"/>
              </w:rPr>
              <w:t>Bangsa</w:t>
            </w:r>
            <w:proofErr w:type="spellEnd"/>
          </w:p>
        </w:tc>
        <w:tc>
          <w:tcPr>
            <w:tcW w:w="0" w:type="auto"/>
            <w:hideMark/>
          </w:tcPr>
          <w:p w:rsidR="00665334" w:rsidRPr="00877F28" w:rsidRDefault="00665334" w:rsidP="00F31649">
            <w:pPr>
              <w:ind w:left="0" w:hanging="2"/>
              <w:rPr>
                <w:rFonts w:asciiTheme="majorHAnsi" w:hAnsiTheme="majorHAnsi" w:cstheme="majorHAnsi"/>
              </w:rPr>
            </w:pPr>
            <w:r w:rsidRPr="00877F28">
              <w:rPr>
                <w:rFonts w:asciiTheme="majorHAnsi" w:hAnsiTheme="majorHAnsi" w:cstheme="majorHAnsi"/>
                <w:i/>
                <w:iCs/>
              </w:rPr>
              <w:t>Our Work, Achievement of the Nation</w:t>
            </w:r>
          </w:p>
        </w:tc>
      </w:tr>
      <w:tr w:rsidR="00665334" w:rsidRPr="00877F28" w:rsidTr="00F31649">
        <w:tc>
          <w:tcPr>
            <w:tcW w:w="0" w:type="auto"/>
            <w:hideMark/>
          </w:tcPr>
          <w:p w:rsidR="00665334" w:rsidRPr="00877F28" w:rsidRDefault="00665334" w:rsidP="00F31649">
            <w:pPr>
              <w:ind w:left="0" w:hanging="2"/>
              <w:rPr>
                <w:rFonts w:asciiTheme="majorHAnsi" w:hAnsiTheme="majorHAnsi" w:cstheme="majorHAnsi"/>
              </w:rPr>
            </w:pPr>
            <w:r w:rsidRPr="00877F28">
              <w:rPr>
                <w:rFonts w:asciiTheme="majorHAnsi" w:hAnsiTheme="majorHAnsi" w:cstheme="majorHAnsi"/>
                <w:b/>
                <w:bCs/>
              </w:rPr>
              <w:t>74th (2019)</w:t>
            </w:r>
          </w:p>
        </w:tc>
        <w:tc>
          <w:tcPr>
            <w:tcW w:w="0" w:type="auto"/>
            <w:hideMark/>
          </w:tcPr>
          <w:p w:rsidR="00665334" w:rsidRPr="00877F28" w:rsidRDefault="00665334" w:rsidP="00F31649">
            <w:pPr>
              <w:ind w:left="0" w:hanging="2"/>
              <w:rPr>
                <w:rFonts w:asciiTheme="majorHAnsi" w:hAnsiTheme="majorHAnsi" w:cstheme="majorHAnsi"/>
              </w:rPr>
            </w:pPr>
            <w:r w:rsidRPr="00877F28">
              <w:rPr>
                <w:rFonts w:asciiTheme="majorHAnsi" w:hAnsiTheme="majorHAnsi" w:cstheme="majorHAnsi"/>
              </w:rPr>
              <w:t xml:space="preserve">SDM </w:t>
            </w:r>
            <w:proofErr w:type="spellStart"/>
            <w:r w:rsidRPr="00877F28">
              <w:rPr>
                <w:rFonts w:asciiTheme="majorHAnsi" w:hAnsiTheme="majorHAnsi" w:cstheme="majorHAnsi"/>
              </w:rPr>
              <w:t>Unggul</w:t>
            </w:r>
            <w:proofErr w:type="spellEnd"/>
            <w:r w:rsidRPr="00877F28">
              <w:rPr>
                <w:rFonts w:asciiTheme="majorHAnsi" w:hAnsiTheme="majorHAnsi" w:cstheme="majorHAnsi"/>
              </w:rPr>
              <w:t xml:space="preserve">, Indonesia </w:t>
            </w:r>
            <w:proofErr w:type="spellStart"/>
            <w:r w:rsidRPr="00877F28">
              <w:rPr>
                <w:rFonts w:asciiTheme="majorHAnsi" w:hAnsiTheme="majorHAnsi" w:cstheme="majorHAnsi"/>
              </w:rPr>
              <w:t>Maju</w:t>
            </w:r>
            <w:proofErr w:type="spellEnd"/>
          </w:p>
        </w:tc>
        <w:tc>
          <w:tcPr>
            <w:tcW w:w="0" w:type="auto"/>
            <w:hideMark/>
          </w:tcPr>
          <w:p w:rsidR="00665334" w:rsidRPr="00877F28" w:rsidRDefault="00665334" w:rsidP="00F31649">
            <w:pPr>
              <w:ind w:left="0" w:hanging="2"/>
              <w:rPr>
                <w:rFonts w:asciiTheme="majorHAnsi" w:hAnsiTheme="majorHAnsi" w:cstheme="majorHAnsi"/>
              </w:rPr>
            </w:pPr>
            <w:r w:rsidRPr="00877F28">
              <w:rPr>
                <w:rFonts w:asciiTheme="majorHAnsi" w:hAnsiTheme="majorHAnsi" w:cstheme="majorHAnsi"/>
                <w:i/>
                <w:iCs/>
              </w:rPr>
              <w:t>Superior Human Resources, an Advanced Indonesia</w:t>
            </w:r>
          </w:p>
        </w:tc>
      </w:tr>
      <w:tr w:rsidR="00665334" w:rsidRPr="00877F28" w:rsidTr="00F31649">
        <w:tc>
          <w:tcPr>
            <w:tcW w:w="0" w:type="auto"/>
            <w:hideMark/>
          </w:tcPr>
          <w:p w:rsidR="00665334" w:rsidRPr="00877F28" w:rsidRDefault="00665334" w:rsidP="00F31649">
            <w:pPr>
              <w:ind w:left="0" w:hanging="2"/>
              <w:rPr>
                <w:rFonts w:asciiTheme="majorHAnsi" w:hAnsiTheme="majorHAnsi" w:cstheme="majorHAnsi"/>
              </w:rPr>
            </w:pPr>
            <w:r w:rsidRPr="00877F28">
              <w:rPr>
                <w:rFonts w:asciiTheme="majorHAnsi" w:hAnsiTheme="majorHAnsi" w:cstheme="majorHAnsi"/>
                <w:b/>
                <w:bCs/>
              </w:rPr>
              <w:t>75th (2020)</w:t>
            </w:r>
          </w:p>
        </w:tc>
        <w:tc>
          <w:tcPr>
            <w:tcW w:w="0" w:type="auto"/>
            <w:hideMark/>
          </w:tcPr>
          <w:p w:rsidR="00665334" w:rsidRPr="00877F28" w:rsidRDefault="00665334" w:rsidP="00F31649">
            <w:pPr>
              <w:ind w:left="0" w:hanging="2"/>
              <w:rPr>
                <w:rFonts w:asciiTheme="majorHAnsi" w:hAnsiTheme="majorHAnsi" w:cstheme="majorHAnsi"/>
              </w:rPr>
            </w:pPr>
            <w:r w:rsidRPr="00877F28">
              <w:rPr>
                <w:rFonts w:asciiTheme="majorHAnsi" w:hAnsiTheme="majorHAnsi" w:cstheme="majorHAnsi"/>
              </w:rPr>
              <w:t xml:space="preserve">Indonesia </w:t>
            </w:r>
            <w:proofErr w:type="spellStart"/>
            <w:r w:rsidRPr="00877F28">
              <w:rPr>
                <w:rFonts w:asciiTheme="majorHAnsi" w:hAnsiTheme="majorHAnsi" w:cstheme="majorHAnsi"/>
              </w:rPr>
              <w:t>Maju</w:t>
            </w:r>
            <w:proofErr w:type="spellEnd"/>
          </w:p>
        </w:tc>
        <w:tc>
          <w:tcPr>
            <w:tcW w:w="0" w:type="auto"/>
            <w:hideMark/>
          </w:tcPr>
          <w:p w:rsidR="00665334" w:rsidRPr="00877F28" w:rsidRDefault="00665334" w:rsidP="00F31649">
            <w:pPr>
              <w:ind w:left="0" w:hanging="2"/>
              <w:rPr>
                <w:rFonts w:asciiTheme="majorHAnsi" w:hAnsiTheme="majorHAnsi" w:cstheme="majorHAnsi"/>
              </w:rPr>
            </w:pPr>
            <w:r w:rsidRPr="00877F28">
              <w:rPr>
                <w:rFonts w:asciiTheme="majorHAnsi" w:hAnsiTheme="majorHAnsi" w:cstheme="majorHAnsi"/>
                <w:i/>
                <w:iCs/>
              </w:rPr>
              <w:t>Indonesia Advances</w:t>
            </w:r>
          </w:p>
        </w:tc>
      </w:tr>
      <w:tr w:rsidR="00665334" w:rsidRPr="00877F28" w:rsidTr="00F31649">
        <w:tc>
          <w:tcPr>
            <w:tcW w:w="0" w:type="auto"/>
            <w:hideMark/>
          </w:tcPr>
          <w:p w:rsidR="00665334" w:rsidRPr="00877F28" w:rsidRDefault="00665334" w:rsidP="00F31649">
            <w:pPr>
              <w:ind w:left="0" w:hanging="2"/>
              <w:rPr>
                <w:rFonts w:asciiTheme="majorHAnsi" w:hAnsiTheme="majorHAnsi" w:cstheme="majorHAnsi"/>
              </w:rPr>
            </w:pPr>
            <w:r w:rsidRPr="00877F28">
              <w:rPr>
                <w:rFonts w:asciiTheme="majorHAnsi" w:hAnsiTheme="majorHAnsi" w:cstheme="majorHAnsi"/>
                <w:b/>
                <w:bCs/>
              </w:rPr>
              <w:t>76th (2021)</w:t>
            </w:r>
          </w:p>
        </w:tc>
        <w:tc>
          <w:tcPr>
            <w:tcW w:w="0" w:type="auto"/>
            <w:hideMark/>
          </w:tcPr>
          <w:p w:rsidR="00665334" w:rsidRPr="00877F28" w:rsidRDefault="00665334" w:rsidP="00F31649">
            <w:pPr>
              <w:ind w:left="0" w:hanging="2"/>
              <w:rPr>
                <w:rFonts w:asciiTheme="majorHAnsi" w:hAnsiTheme="majorHAnsi" w:cstheme="majorHAnsi"/>
              </w:rPr>
            </w:pPr>
            <w:r w:rsidRPr="00877F28">
              <w:rPr>
                <w:rFonts w:asciiTheme="majorHAnsi" w:hAnsiTheme="majorHAnsi" w:cstheme="majorHAnsi"/>
              </w:rPr>
              <w:t xml:space="preserve">Indonesia </w:t>
            </w:r>
            <w:proofErr w:type="spellStart"/>
            <w:r w:rsidRPr="00877F28">
              <w:rPr>
                <w:rFonts w:asciiTheme="majorHAnsi" w:hAnsiTheme="majorHAnsi" w:cstheme="majorHAnsi"/>
              </w:rPr>
              <w:t>Tangguh</w:t>
            </w:r>
            <w:proofErr w:type="spellEnd"/>
            <w:r w:rsidRPr="00877F28">
              <w:rPr>
                <w:rFonts w:asciiTheme="majorHAnsi" w:hAnsiTheme="majorHAnsi" w:cstheme="majorHAnsi"/>
              </w:rPr>
              <w:t xml:space="preserve">, Indonesia </w:t>
            </w:r>
            <w:proofErr w:type="spellStart"/>
            <w:r w:rsidRPr="00877F28">
              <w:rPr>
                <w:rFonts w:asciiTheme="majorHAnsi" w:hAnsiTheme="majorHAnsi" w:cstheme="majorHAnsi"/>
              </w:rPr>
              <w:t>Tumbuh</w:t>
            </w:r>
            <w:proofErr w:type="spellEnd"/>
          </w:p>
        </w:tc>
        <w:tc>
          <w:tcPr>
            <w:tcW w:w="0" w:type="auto"/>
            <w:hideMark/>
          </w:tcPr>
          <w:p w:rsidR="00665334" w:rsidRPr="00877F28" w:rsidRDefault="00665334" w:rsidP="00F31649">
            <w:pPr>
              <w:ind w:left="0" w:hanging="2"/>
              <w:rPr>
                <w:rFonts w:asciiTheme="majorHAnsi" w:hAnsiTheme="majorHAnsi" w:cstheme="majorHAnsi"/>
              </w:rPr>
            </w:pPr>
            <w:r w:rsidRPr="00877F28">
              <w:rPr>
                <w:rFonts w:asciiTheme="majorHAnsi" w:hAnsiTheme="majorHAnsi" w:cstheme="majorHAnsi"/>
                <w:i/>
                <w:iCs/>
              </w:rPr>
              <w:t>Tough Indonesia, Growing Indonesia</w:t>
            </w:r>
          </w:p>
        </w:tc>
      </w:tr>
      <w:tr w:rsidR="00665334" w:rsidRPr="00877F28" w:rsidTr="00F31649">
        <w:tc>
          <w:tcPr>
            <w:tcW w:w="0" w:type="auto"/>
            <w:hideMark/>
          </w:tcPr>
          <w:p w:rsidR="00665334" w:rsidRPr="00877F28" w:rsidRDefault="00665334" w:rsidP="00F31649">
            <w:pPr>
              <w:ind w:left="0" w:hanging="2"/>
              <w:rPr>
                <w:rFonts w:asciiTheme="majorHAnsi" w:hAnsiTheme="majorHAnsi" w:cstheme="majorHAnsi"/>
              </w:rPr>
            </w:pPr>
            <w:r w:rsidRPr="00877F28">
              <w:rPr>
                <w:rFonts w:asciiTheme="majorHAnsi" w:hAnsiTheme="majorHAnsi" w:cstheme="majorHAnsi"/>
                <w:b/>
                <w:bCs/>
              </w:rPr>
              <w:t>77th (2022)</w:t>
            </w:r>
          </w:p>
        </w:tc>
        <w:tc>
          <w:tcPr>
            <w:tcW w:w="0" w:type="auto"/>
            <w:hideMark/>
          </w:tcPr>
          <w:p w:rsidR="00665334" w:rsidRPr="00877F28" w:rsidRDefault="00665334" w:rsidP="00F31649">
            <w:pPr>
              <w:ind w:left="0" w:hanging="2"/>
              <w:rPr>
                <w:rFonts w:asciiTheme="majorHAnsi" w:hAnsiTheme="majorHAnsi" w:cstheme="majorHAnsi"/>
              </w:rPr>
            </w:pPr>
            <w:proofErr w:type="spellStart"/>
            <w:r w:rsidRPr="00877F28">
              <w:rPr>
                <w:rFonts w:asciiTheme="majorHAnsi" w:hAnsiTheme="majorHAnsi" w:cstheme="majorHAnsi"/>
              </w:rPr>
              <w:t>Pulih</w:t>
            </w:r>
            <w:proofErr w:type="spellEnd"/>
            <w:r w:rsidRPr="00877F28">
              <w:rPr>
                <w:rFonts w:asciiTheme="majorHAnsi" w:hAnsiTheme="majorHAnsi" w:cstheme="majorHAnsi"/>
              </w:rPr>
              <w:t xml:space="preserve"> </w:t>
            </w:r>
            <w:proofErr w:type="spellStart"/>
            <w:r w:rsidRPr="00877F28">
              <w:rPr>
                <w:rFonts w:asciiTheme="majorHAnsi" w:hAnsiTheme="majorHAnsi" w:cstheme="majorHAnsi"/>
              </w:rPr>
              <w:t>Lebih</w:t>
            </w:r>
            <w:proofErr w:type="spellEnd"/>
            <w:r w:rsidRPr="00877F28">
              <w:rPr>
                <w:rFonts w:asciiTheme="majorHAnsi" w:hAnsiTheme="majorHAnsi" w:cstheme="majorHAnsi"/>
              </w:rPr>
              <w:t xml:space="preserve"> </w:t>
            </w:r>
            <w:proofErr w:type="spellStart"/>
            <w:r w:rsidRPr="00877F28">
              <w:rPr>
                <w:rFonts w:asciiTheme="majorHAnsi" w:hAnsiTheme="majorHAnsi" w:cstheme="majorHAnsi"/>
              </w:rPr>
              <w:t>Cepat</w:t>
            </w:r>
            <w:proofErr w:type="spellEnd"/>
            <w:r w:rsidRPr="00877F28">
              <w:rPr>
                <w:rFonts w:asciiTheme="majorHAnsi" w:hAnsiTheme="majorHAnsi" w:cstheme="majorHAnsi"/>
              </w:rPr>
              <w:t xml:space="preserve">, </w:t>
            </w:r>
            <w:proofErr w:type="spellStart"/>
            <w:r w:rsidRPr="00877F28">
              <w:rPr>
                <w:rFonts w:asciiTheme="majorHAnsi" w:hAnsiTheme="majorHAnsi" w:cstheme="majorHAnsi"/>
              </w:rPr>
              <w:t>Bangkit</w:t>
            </w:r>
            <w:proofErr w:type="spellEnd"/>
            <w:r w:rsidRPr="00877F28">
              <w:rPr>
                <w:rFonts w:asciiTheme="majorHAnsi" w:hAnsiTheme="majorHAnsi" w:cstheme="majorHAnsi"/>
              </w:rPr>
              <w:t xml:space="preserve"> </w:t>
            </w:r>
            <w:proofErr w:type="spellStart"/>
            <w:r w:rsidRPr="00877F28">
              <w:rPr>
                <w:rFonts w:asciiTheme="majorHAnsi" w:hAnsiTheme="majorHAnsi" w:cstheme="majorHAnsi"/>
              </w:rPr>
              <w:t>Lebih</w:t>
            </w:r>
            <w:proofErr w:type="spellEnd"/>
            <w:r w:rsidRPr="00877F28">
              <w:rPr>
                <w:rFonts w:asciiTheme="majorHAnsi" w:hAnsiTheme="majorHAnsi" w:cstheme="majorHAnsi"/>
              </w:rPr>
              <w:t xml:space="preserve"> </w:t>
            </w:r>
            <w:proofErr w:type="spellStart"/>
            <w:r w:rsidRPr="00877F28">
              <w:rPr>
                <w:rFonts w:asciiTheme="majorHAnsi" w:hAnsiTheme="majorHAnsi" w:cstheme="majorHAnsi"/>
              </w:rPr>
              <w:t>Kuat</w:t>
            </w:r>
            <w:proofErr w:type="spellEnd"/>
          </w:p>
        </w:tc>
        <w:tc>
          <w:tcPr>
            <w:tcW w:w="0" w:type="auto"/>
            <w:hideMark/>
          </w:tcPr>
          <w:p w:rsidR="00665334" w:rsidRPr="00877F28" w:rsidRDefault="00665334" w:rsidP="00F31649">
            <w:pPr>
              <w:ind w:left="0" w:hanging="2"/>
              <w:rPr>
                <w:rFonts w:asciiTheme="majorHAnsi" w:hAnsiTheme="majorHAnsi" w:cstheme="majorHAnsi"/>
              </w:rPr>
            </w:pPr>
            <w:r w:rsidRPr="00877F28">
              <w:rPr>
                <w:rFonts w:asciiTheme="majorHAnsi" w:hAnsiTheme="majorHAnsi" w:cstheme="majorHAnsi"/>
                <w:i/>
                <w:iCs/>
              </w:rPr>
              <w:t>Recover Faster, Rise Stronger</w:t>
            </w:r>
          </w:p>
        </w:tc>
      </w:tr>
      <w:tr w:rsidR="00665334" w:rsidRPr="00877F28" w:rsidTr="00F31649">
        <w:tc>
          <w:tcPr>
            <w:tcW w:w="0" w:type="auto"/>
            <w:hideMark/>
          </w:tcPr>
          <w:p w:rsidR="00665334" w:rsidRPr="00877F28" w:rsidRDefault="00665334" w:rsidP="00F31649">
            <w:pPr>
              <w:ind w:left="0" w:hanging="2"/>
              <w:rPr>
                <w:rFonts w:asciiTheme="majorHAnsi" w:hAnsiTheme="majorHAnsi" w:cstheme="majorHAnsi"/>
              </w:rPr>
            </w:pPr>
            <w:r w:rsidRPr="00877F28">
              <w:rPr>
                <w:rFonts w:asciiTheme="majorHAnsi" w:hAnsiTheme="majorHAnsi" w:cstheme="majorHAnsi"/>
                <w:b/>
                <w:bCs/>
              </w:rPr>
              <w:t>78th (2023)</w:t>
            </w:r>
          </w:p>
        </w:tc>
        <w:tc>
          <w:tcPr>
            <w:tcW w:w="0" w:type="auto"/>
            <w:hideMark/>
          </w:tcPr>
          <w:p w:rsidR="00665334" w:rsidRPr="00877F28" w:rsidRDefault="00665334" w:rsidP="00F31649">
            <w:pPr>
              <w:ind w:left="0" w:hanging="2"/>
              <w:rPr>
                <w:rFonts w:asciiTheme="majorHAnsi" w:hAnsiTheme="majorHAnsi" w:cstheme="majorHAnsi"/>
              </w:rPr>
            </w:pPr>
            <w:proofErr w:type="spellStart"/>
            <w:r w:rsidRPr="00877F28">
              <w:rPr>
                <w:rFonts w:asciiTheme="majorHAnsi" w:hAnsiTheme="majorHAnsi" w:cstheme="majorHAnsi"/>
              </w:rPr>
              <w:t>Terus</w:t>
            </w:r>
            <w:proofErr w:type="spellEnd"/>
            <w:r w:rsidRPr="00877F28">
              <w:rPr>
                <w:rFonts w:asciiTheme="majorHAnsi" w:hAnsiTheme="majorHAnsi" w:cstheme="majorHAnsi"/>
              </w:rPr>
              <w:t xml:space="preserve"> </w:t>
            </w:r>
            <w:proofErr w:type="spellStart"/>
            <w:r w:rsidRPr="00877F28">
              <w:rPr>
                <w:rFonts w:asciiTheme="majorHAnsi" w:hAnsiTheme="majorHAnsi" w:cstheme="majorHAnsi"/>
              </w:rPr>
              <w:t>Melaju</w:t>
            </w:r>
            <w:proofErr w:type="spellEnd"/>
            <w:r w:rsidRPr="00877F28">
              <w:rPr>
                <w:rFonts w:asciiTheme="majorHAnsi" w:hAnsiTheme="majorHAnsi" w:cstheme="majorHAnsi"/>
              </w:rPr>
              <w:t xml:space="preserve"> </w:t>
            </w:r>
            <w:proofErr w:type="spellStart"/>
            <w:r w:rsidRPr="00877F28">
              <w:rPr>
                <w:rFonts w:asciiTheme="majorHAnsi" w:hAnsiTheme="majorHAnsi" w:cstheme="majorHAnsi"/>
              </w:rPr>
              <w:t>untuk</w:t>
            </w:r>
            <w:proofErr w:type="spellEnd"/>
            <w:r w:rsidRPr="00877F28">
              <w:rPr>
                <w:rFonts w:asciiTheme="majorHAnsi" w:hAnsiTheme="majorHAnsi" w:cstheme="majorHAnsi"/>
              </w:rPr>
              <w:t xml:space="preserve"> Indonesia </w:t>
            </w:r>
            <w:proofErr w:type="spellStart"/>
            <w:r w:rsidRPr="00877F28">
              <w:rPr>
                <w:rFonts w:asciiTheme="majorHAnsi" w:hAnsiTheme="majorHAnsi" w:cstheme="majorHAnsi"/>
              </w:rPr>
              <w:t>Maju</w:t>
            </w:r>
            <w:proofErr w:type="spellEnd"/>
          </w:p>
        </w:tc>
        <w:tc>
          <w:tcPr>
            <w:tcW w:w="0" w:type="auto"/>
            <w:hideMark/>
          </w:tcPr>
          <w:p w:rsidR="00665334" w:rsidRPr="00877F28" w:rsidRDefault="00665334" w:rsidP="00F31649">
            <w:pPr>
              <w:ind w:left="0" w:hanging="2"/>
              <w:rPr>
                <w:rFonts w:asciiTheme="majorHAnsi" w:hAnsiTheme="majorHAnsi" w:cstheme="majorHAnsi"/>
              </w:rPr>
            </w:pPr>
            <w:r w:rsidRPr="00877F28">
              <w:rPr>
                <w:rFonts w:asciiTheme="majorHAnsi" w:hAnsiTheme="majorHAnsi" w:cstheme="majorHAnsi"/>
                <w:i/>
                <w:iCs/>
              </w:rPr>
              <w:t>Keep Going Forward for an Advanced Indonesia</w:t>
            </w:r>
          </w:p>
        </w:tc>
      </w:tr>
      <w:tr w:rsidR="00665334" w:rsidRPr="00877F28" w:rsidTr="00F31649">
        <w:tc>
          <w:tcPr>
            <w:tcW w:w="0" w:type="auto"/>
            <w:hideMark/>
          </w:tcPr>
          <w:p w:rsidR="00665334" w:rsidRPr="00877F28" w:rsidRDefault="00665334" w:rsidP="00F31649">
            <w:pPr>
              <w:ind w:left="0" w:hanging="2"/>
              <w:rPr>
                <w:rFonts w:asciiTheme="majorHAnsi" w:hAnsiTheme="majorHAnsi" w:cstheme="majorHAnsi"/>
              </w:rPr>
            </w:pPr>
            <w:r w:rsidRPr="00877F28">
              <w:rPr>
                <w:rFonts w:asciiTheme="majorHAnsi" w:hAnsiTheme="majorHAnsi" w:cstheme="majorHAnsi"/>
                <w:b/>
                <w:bCs/>
              </w:rPr>
              <w:t xml:space="preserve"> 79th (2024)</w:t>
            </w:r>
          </w:p>
        </w:tc>
        <w:tc>
          <w:tcPr>
            <w:tcW w:w="0" w:type="auto"/>
            <w:hideMark/>
          </w:tcPr>
          <w:p w:rsidR="00665334" w:rsidRPr="00877F28" w:rsidRDefault="00665334" w:rsidP="00F31649">
            <w:pPr>
              <w:ind w:left="0" w:hanging="2"/>
              <w:rPr>
                <w:rFonts w:asciiTheme="majorHAnsi" w:hAnsiTheme="majorHAnsi" w:cstheme="majorHAnsi"/>
              </w:rPr>
            </w:pPr>
            <w:r w:rsidRPr="00877F28">
              <w:rPr>
                <w:rFonts w:asciiTheme="majorHAnsi" w:hAnsiTheme="majorHAnsi" w:cstheme="majorHAnsi"/>
              </w:rPr>
              <w:t xml:space="preserve">Nusantara </w:t>
            </w:r>
            <w:proofErr w:type="spellStart"/>
            <w:r w:rsidRPr="00877F28">
              <w:rPr>
                <w:rFonts w:asciiTheme="majorHAnsi" w:hAnsiTheme="majorHAnsi" w:cstheme="majorHAnsi"/>
              </w:rPr>
              <w:t>Baru</w:t>
            </w:r>
            <w:proofErr w:type="spellEnd"/>
            <w:r w:rsidRPr="00877F28">
              <w:rPr>
                <w:rFonts w:asciiTheme="majorHAnsi" w:hAnsiTheme="majorHAnsi" w:cstheme="majorHAnsi"/>
              </w:rPr>
              <w:t xml:space="preserve">, Indonesia </w:t>
            </w:r>
            <w:proofErr w:type="spellStart"/>
            <w:r w:rsidRPr="00877F28">
              <w:rPr>
                <w:rFonts w:asciiTheme="majorHAnsi" w:hAnsiTheme="majorHAnsi" w:cstheme="majorHAnsi"/>
              </w:rPr>
              <w:t>Maju</w:t>
            </w:r>
            <w:proofErr w:type="spellEnd"/>
          </w:p>
        </w:tc>
        <w:tc>
          <w:tcPr>
            <w:tcW w:w="0" w:type="auto"/>
            <w:hideMark/>
          </w:tcPr>
          <w:p w:rsidR="00665334" w:rsidRPr="00877F28" w:rsidRDefault="00665334" w:rsidP="00F31649">
            <w:pPr>
              <w:ind w:left="0" w:hanging="2"/>
              <w:rPr>
                <w:rFonts w:asciiTheme="majorHAnsi" w:hAnsiTheme="majorHAnsi" w:cstheme="majorHAnsi"/>
              </w:rPr>
            </w:pPr>
            <w:r w:rsidRPr="00877F28">
              <w:rPr>
                <w:rFonts w:asciiTheme="majorHAnsi" w:hAnsiTheme="majorHAnsi" w:cstheme="majorHAnsi"/>
                <w:i/>
                <w:iCs/>
              </w:rPr>
              <w:t>New Nusantara, Advanced Indonesia</w:t>
            </w:r>
          </w:p>
        </w:tc>
      </w:tr>
      <w:tr w:rsidR="00665334" w:rsidRPr="00877F28" w:rsidTr="00F31649">
        <w:tc>
          <w:tcPr>
            <w:tcW w:w="0" w:type="auto"/>
            <w:hideMark/>
          </w:tcPr>
          <w:p w:rsidR="00665334" w:rsidRPr="00877F28" w:rsidRDefault="00665334" w:rsidP="00F31649">
            <w:pPr>
              <w:ind w:left="0" w:hanging="2"/>
              <w:rPr>
                <w:rFonts w:asciiTheme="majorHAnsi" w:hAnsiTheme="majorHAnsi" w:cstheme="majorHAnsi"/>
              </w:rPr>
            </w:pPr>
            <w:r w:rsidRPr="00877F28">
              <w:rPr>
                <w:rFonts w:asciiTheme="majorHAnsi" w:hAnsiTheme="majorHAnsi" w:cstheme="majorHAnsi"/>
                <w:b/>
                <w:bCs/>
              </w:rPr>
              <w:t>80th (2025)</w:t>
            </w:r>
          </w:p>
        </w:tc>
        <w:tc>
          <w:tcPr>
            <w:tcW w:w="0" w:type="auto"/>
            <w:hideMark/>
          </w:tcPr>
          <w:p w:rsidR="00665334" w:rsidRPr="00877F28" w:rsidRDefault="00665334" w:rsidP="00F31649">
            <w:pPr>
              <w:ind w:left="0" w:hanging="2"/>
              <w:rPr>
                <w:rFonts w:asciiTheme="majorHAnsi" w:hAnsiTheme="majorHAnsi" w:cstheme="majorHAnsi"/>
              </w:rPr>
            </w:pPr>
            <w:proofErr w:type="spellStart"/>
            <w:r w:rsidRPr="00877F28">
              <w:rPr>
                <w:rFonts w:asciiTheme="majorHAnsi" w:hAnsiTheme="majorHAnsi" w:cstheme="majorHAnsi"/>
              </w:rPr>
              <w:t>Bersatu</w:t>
            </w:r>
            <w:proofErr w:type="spellEnd"/>
            <w:r w:rsidRPr="00877F28">
              <w:rPr>
                <w:rFonts w:asciiTheme="majorHAnsi" w:hAnsiTheme="majorHAnsi" w:cstheme="majorHAnsi"/>
              </w:rPr>
              <w:t xml:space="preserve"> </w:t>
            </w:r>
            <w:proofErr w:type="spellStart"/>
            <w:r w:rsidRPr="00877F28">
              <w:rPr>
                <w:rFonts w:asciiTheme="majorHAnsi" w:hAnsiTheme="majorHAnsi" w:cstheme="majorHAnsi"/>
              </w:rPr>
              <w:t>Berdaulat</w:t>
            </w:r>
            <w:proofErr w:type="spellEnd"/>
            <w:r w:rsidRPr="00877F28">
              <w:rPr>
                <w:rFonts w:asciiTheme="majorHAnsi" w:hAnsiTheme="majorHAnsi" w:cstheme="majorHAnsi"/>
              </w:rPr>
              <w:t xml:space="preserve">, Rakyat Sejahtera, Indonesia </w:t>
            </w:r>
            <w:proofErr w:type="spellStart"/>
            <w:r w:rsidRPr="00877F28">
              <w:rPr>
                <w:rFonts w:asciiTheme="majorHAnsi" w:hAnsiTheme="majorHAnsi" w:cstheme="majorHAnsi"/>
              </w:rPr>
              <w:t>Maju</w:t>
            </w:r>
            <w:proofErr w:type="spellEnd"/>
          </w:p>
        </w:tc>
        <w:tc>
          <w:tcPr>
            <w:tcW w:w="0" w:type="auto"/>
            <w:hideMark/>
          </w:tcPr>
          <w:p w:rsidR="00665334" w:rsidRPr="00877F28" w:rsidRDefault="00665334" w:rsidP="00F31649">
            <w:pPr>
              <w:ind w:left="0" w:hanging="2"/>
              <w:rPr>
                <w:rFonts w:asciiTheme="majorHAnsi" w:hAnsiTheme="majorHAnsi" w:cstheme="majorHAnsi"/>
              </w:rPr>
            </w:pPr>
            <w:r w:rsidRPr="00877F28">
              <w:rPr>
                <w:rFonts w:asciiTheme="majorHAnsi" w:hAnsiTheme="majorHAnsi" w:cstheme="majorHAnsi"/>
                <w:i/>
                <w:iCs/>
              </w:rPr>
              <w:t>United and Sovereign, Prosperous People, Advanced Indonesia</w:t>
            </w:r>
          </w:p>
        </w:tc>
      </w:tr>
    </w:tbl>
    <w:p w:rsidR="003E1121" w:rsidRPr="006E1E85" w:rsidRDefault="003E1121" w:rsidP="003E1121">
      <w:pPr>
        <w:pStyle w:val="NormalWeb"/>
        <w:spacing w:before="0" w:beforeAutospacing="0" w:after="0" w:afterAutospacing="0"/>
        <w:ind w:left="0" w:hanging="2"/>
        <w:jc w:val="center"/>
        <w:rPr>
          <w:rFonts w:asciiTheme="majorHAnsi" w:hAnsiTheme="majorHAnsi" w:cstheme="majorHAnsi"/>
          <w:sz w:val="20"/>
        </w:rPr>
      </w:pPr>
      <w:r w:rsidRPr="006E1E85">
        <w:rPr>
          <w:rFonts w:asciiTheme="majorHAnsi" w:hAnsiTheme="majorHAnsi" w:cstheme="majorHAnsi"/>
          <w:position w:val="0"/>
          <w:sz w:val="20"/>
        </w:rPr>
        <w:t xml:space="preserve">Table 1. </w:t>
      </w:r>
      <w:r w:rsidRPr="006E1E85">
        <w:rPr>
          <w:rFonts w:asciiTheme="majorHAnsi" w:hAnsiTheme="majorHAnsi" w:cstheme="majorHAnsi"/>
          <w:sz w:val="20"/>
        </w:rPr>
        <w:t xml:space="preserve">Indonesian Independence Day Slogans from the 70th to 80th Anniversary </w:t>
      </w:r>
    </w:p>
    <w:p w:rsidR="00665334" w:rsidRPr="006E1E85" w:rsidRDefault="003E1121" w:rsidP="003E1121">
      <w:pPr>
        <w:pStyle w:val="NormalWeb"/>
        <w:spacing w:before="0" w:beforeAutospacing="0" w:after="0" w:afterAutospacing="0"/>
        <w:ind w:left="0" w:hanging="2"/>
        <w:jc w:val="center"/>
        <w:rPr>
          <w:rFonts w:asciiTheme="majorHAnsi" w:hAnsiTheme="majorHAnsi" w:cstheme="majorHAnsi"/>
          <w:sz w:val="22"/>
        </w:rPr>
      </w:pPr>
      <w:r w:rsidRPr="006E1E85">
        <w:rPr>
          <w:rFonts w:asciiTheme="majorHAnsi" w:hAnsiTheme="majorHAnsi" w:cstheme="majorHAnsi"/>
          <w:sz w:val="20"/>
        </w:rPr>
        <w:t>(2015–2025) with English Translations</w:t>
      </w:r>
    </w:p>
    <w:p w:rsidR="003E1121" w:rsidRPr="003E1121" w:rsidRDefault="003E1121" w:rsidP="003E1121">
      <w:pPr>
        <w:pStyle w:val="NormalWeb"/>
        <w:spacing w:before="0" w:beforeAutospacing="0" w:after="0" w:afterAutospacing="0"/>
        <w:ind w:left="0" w:hanging="2"/>
        <w:jc w:val="center"/>
        <w:rPr>
          <w:rFonts w:asciiTheme="majorHAnsi" w:hAnsiTheme="majorHAnsi" w:cstheme="majorHAnsi"/>
        </w:rPr>
      </w:pPr>
    </w:p>
    <w:p w:rsidR="00833691" w:rsidRPr="00877F28" w:rsidRDefault="00833691" w:rsidP="00665334">
      <w:pPr>
        <w:suppressAutoHyphens w:val="0"/>
        <w:spacing w:line="240" w:lineRule="auto"/>
        <w:ind w:leftChars="0" w:firstLineChars="0" w:firstLine="0"/>
        <w:jc w:val="both"/>
        <w:textDirection w:val="lrTb"/>
        <w:textAlignment w:val="auto"/>
        <w:outlineLvl w:val="9"/>
        <w:rPr>
          <w:rFonts w:asciiTheme="majorHAnsi" w:hAnsiTheme="majorHAnsi" w:cstheme="majorHAnsi"/>
          <w:position w:val="0"/>
          <w:sz w:val="24"/>
          <w:szCs w:val="24"/>
        </w:rPr>
      </w:pPr>
      <w:r w:rsidRPr="00877F28">
        <w:rPr>
          <w:rFonts w:asciiTheme="majorHAnsi" w:hAnsiTheme="majorHAnsi" w:cstheme="majorHAnsi"/>
          <w:position w:val="0"/>
          <w:sz w:val="24"/>
          <w:szCs w:val="24"/>
        </w:rPr>
        <w:t>Between 2015 and 2025, the Independence Day slogans of Indonesia reflect thematic variations that correspond to the shifting socio-political landscape, including resilience, development, unity, and the articulation of a long-term vision toward 2045. Although concise in form, these slogans are condensed ideological texts that embed implicit messages of authority, inclusivity, and collective ambition. Their rhetorical design demonstrates how governments utilize language to negotiate legitimacy and solidarity with the people. Despite their relevance, scholarly investigations into Indonesian Independence Day slogans remain limited, particularly from a linguistic perspective. This absence highlights the need for a systematic analysis of how such texts construct meaning and perform ideological functions.</w:t>
      </w:r>
    </w:p>
    <w:p w:rsidR="00C12653" w:rsidRPr="00877F28" w:rsidRDefault="00833691" w:rsidP="00484C3C">
      <w:pPr>
        <w:suppressAutoHyphens w:val="0"/>
        <w:spacing w:line="240" w:lineRule="auto"/>
        <w:ind w:leftChars="0" w:firstLineChars="0" w:hanging="2"/>
        <w:jc w:val="both"/>
        <w:textDirection w:val="lrTb"/>
        <w:textAlignment w:val="auto"/>
        <w:outlineLvl w:val="9"/>
        <w:rPr>
          <w:rFonts w:asciiTheme="majorHAnsi" w:hAnsiTheme="majorHAnsi" w:cstheme="majorHAnsi"/>
          <w:sz w:val="28"/>
          <w:szCs w:val="24"/>
        </w:rPr>
      </w:pPr>
      <w:r w:rsidRPr="00877F28">
        <w:rPr>
          <w:rFonts w:asciiTheme="majorHAnsi" w:hAnsiTheme="majorHAnsi" w:cstheme="majorHAnsi"/>
          <w:position w:val="0"/>
          <w:sz w:val="24"/>
          <w:szCs w:val="24"/>
        </w:rPr>
        <w:t xml:space="preserve">This study addresses the gap by employing Halliday’s Systemic Functional Linguistics, with particular emphasis on the interpersonal </w:t>
      </w:r>
      <w:proofErr w:type="spellStart"/>
      <w:r w:rsidRPr="00877F28">
        <w:rPr>
          <w:rFonts w:asciiTheme="majorHAnsi" w:hAnsiTheme="majorHAnsi" w:cstheme="majorHAnsi"/>
          <w:position w:val="0"/>
          <w:sz w:val="24"/>
          <w:szCs w:val="24"/>
        </w:rPr>
        <w:t>metafunction</w:t>
      </w:r>
      <w:proofErr w:type="spellEnd"/>
      <w:r w:rsidRPr="00877F28">
        <w:rPr>
          <w:rFonts w:asciiTheme="majorHAnsi" w:hAnsiTheme="majorHAnsi" w:cstheme="majorHAnsi"/>
          <w:position w:val="0"/>
          <w:sz w:val="24"/>
          <w:szCs w:val="24"/>
        </w:rPr>
        <w:t xml:space="preserve">, to examine Indonesian Independence Day slogans spanning 2015 to 2025. </w:t>
      </w:r>
      <w:r w:rsidR="00484C3C" w:rsidRPr="00877F28">
        <w:rPr>
          <w:rFonts w:asciiTheme="majorHAnsi" w:hAnsiTheme="majorHAnsi" w:cstheme="majorHAnsi"/>
          <w:sz w:val="24"/>
        </w:rPr>
        <w:t xml:space="preserve">The interpersonal </w:t>
      </w:r>
      <w:proofErr w:type="spellStart"/>
      <w:r w:rsidR="00484C3C" w:rsidRPr="00877F28">
        <w:rPr>
          <w:rFonts w:asciiTheme="majorHAnsi" w:hAnsiTheme="majorHAnsi" w:cstheme="majorHAnsi"/>
          <w:sz w:val="24"/>
        </w:rPr>
        <w:t>metafunction</w:t>
      </w:r>
      <w:proofErr w:type="spellEnd"/>
      <w:r w:rsidR="00484C3C" w:rsidRPr="00877F28">
        <w:rPr>
          <w:rFonts w:asciiTheme="majorHAnsi" w:hAnsiTheme="majorHAnsi" w:cstheme="majorHAnsi"/>
          <w:sz w:val="24"/>
        </w:rPr>
        <w:t xml:space="preserve"> provides analytical tools for understanding how language enacts social relations, conveys evaluative stance, and negotiates roles between text producer and audience. Through this framework, the analysis focuses on how mood, modality, and appraisal resources are deployed to persuade, unify, and mobilize citizens toward national values and developmental agendas. </w:t>
      </w:r>
      <w:r w:rsidR="00484C3C" w:rsidRPr="00877F28">
        <w:rPr>
          <w:rFonts w:asciiTheme="majorHAnsi" w:hAnsiTheme="majorHAnsi" w:cstheme="majorHAnsi"/>
          <w:bCs/>
          <w:sz w:val="24"/>
        </w:rPr>
        <w:t xml:space="preserve">In addition, systemic-functional grammar (SFG) offers valuable insights into the structure and meaning of language. By focusing on meaning and the functional aspects of language, SFG emphasizes the sociological dimensions of language use. Analyzing the interplay between language, function, and context can therefore deepen theoretical and practical understanding of how texts work in society </w:t>
      </w:r>
      <w:r w:rsidR="00484C3C" w:rsidRPr="00877F28">
        <w:rPr>
          <w:rFonts w:asciiTheme="majorHAnsi" w:hAnsiTheme="majorHAnsi" w:cstheme="majorHAnsi"/>
          <w:bCs/>
          <w:sz w:val="24"/>
        </w:rPr>
        <w:fldChar w:fldCharType="begin" w:fldLock="1"/>
      </w:r>
      <w:r w:rsidR="00484C3C" w:rsidRPr="00877F28">
        <w:rPr>
          <w:rFonts w:asciiTheme="majorHAnsi" w:hAnsiTheme="majorHAnsi" w:cstheme="majorHAnsi"/>
          <w:bCs/>
          <w:sz w:val="24"/>
        </w:rPr>
        <w:instrText>ADDIN CSL_CITATION {"citationItems":[{"id":"ITEM-1","itemData":{"DOI":"10.4236/oalib.1113108","ISSN":"2333-9721","abstract":"This paper investigates the application of interpersonal function theory from Systemic Functional Linguistics (SFL) in English-Chinese film subtitle transla-tion, with a focus on the film Good Will Hunting. By examining how mood, modality, and polarity function in film dialogue, the study demonstrates how these elements help convey interpersonal meanings and emotional dynamics between characters. The paper illustrates, through a detailed analysis of 15 examples, that translating interpersonal meaning accurately is crucial for pre-serving the emotional tone, character relationships, and subtle narrative dy-namics of the original text, revealing that adjustments, such as incorporating mood particles, handling expletives, and translating rhetorical questions, are vital to ensuring the intended emotional and interpersonal messages are deliv-ered effectively in the target language. This study highlights the importance of contextual equivalence and provides practical strategies for improving the quality of subtitle translation, suggesting that a focus on interpersonal function theory enhances the authenticity and emotional engagement of film subtitles. Ultimately, the paper advocates for a more nuanced, context-driven approach to subtitle translation that prioritizes interpersonal meaning, cultural nuances, and emotional depth.","author":[{"dropping-particle":"","family":"Han","given":"Jian","non-dropping-particle":"","parse-names":false,"suffix":""},{"dropping-particle":"","family":"Yin","given":"Yanzhu","non-dropping-particle":"","parse-names":false,"suffix":""}],"container-title":"OALib","id":"ITEM-1","issue":"03","issued":{"date-parts":[["2025"]]},"page":"1-17","title":"Applying Interpersonal Function Theory in Film Subtitle Translation —A Study of Good Will Hunting","type":"article-journal","volume":"12"},"uris":["http://www.mendeley.com/documents/?uuid=c8d7b4d7-7390-4ab8-8827-3f29192097c0"]}],"mendeley":{"formattedCitation":"(Han &amp; Yin, 2025)","plainTextFormattedCitation":"(Han &amp; Yin, 2025)","previouslyFormattedCitation":"(Han &amp; Yin, 2025)"},"properties":{"noteIndex":0},"schema":"https://github.com/citation-style-language/schema/raw/master/csl-citation.json"}</w:instrText>
      </w:r>
      <w:r w:rsidR="00484C3C" w:rsidRPr="00877F28">
        <w:rPr>
          <w:rFonts w:asciiTheme="majorHAnsi" w:hAnsiTheme="majorHAnsi" w:cstheme="majorHAnsi"/>
          <w:bCs/>
          <w:sz w:val="24"/>
        </w:rPr>
        <w:fldChar w:fldCharType="separate"/>
      </w:r>
      <w:r w:rsidR="00484C3C" w:rsidRPr="00877F28">
        <w:rPr>
          <w:rFonts w:asciiTheme="majorHAnsi" w:hAnsiTheme="majorHAnsi" w:cstheme="majorHAnsi"/>
          <w:bCs/>
          <w:noProof/>
          <w:sz w:val="24"/>
        </w:rPr>
        <w:t>(Han &amp; Yin, 2025)</w:t>
      </w:r>
      <w:r w:rsidR="00484C3C" w:rsidRPr="00877F28">
        <w:rPr>
          <w:rFonts w:asciiTheme="majorHAnsi" w:hAnsiTheme="majorHAnsi" w:cstheme="majorHAnsi"/>
          <w:bCs/>
          <w:sz w:val="24"/>
        </w:rPr>
        <w:fldChar w:fldCharType="end"/>
      </w:r>
      <w:r w:rsidR="00484C3C" w:rsidRPr="00877F28">
        <w:rPr>
          <w:rFonts w:asciiTheme="majorHAnsi" w:hAnsiTheme="majorHAnsi" w:cstheme="majorHAnsi"/>
          <w:bCs/>
          <w:sz w:val="24"/>
        </w:rPr>
        <w:t>.</w:t>
      </w:r>
      <w:r w:rsidR="00484C3C" w:rsidRPr="00877F28">
        <w:rPr>
          <w:rFonts w:asciiTheme="majorHAnsi" w:hAnsiTheme="majorHAnsi" w:cstheme="majorHAnsi"/>
          <w:sz w:val="24"/>
        </w:rPr>
        <w:t xml:space="preserve"> By situating the findings within the broader field of discourse analysis, the study contributes to scholarship on the intersection of language, ideology, and power, while also offering insights into how state-produced texts function to reinforce national identity and guide collective aspirations.</w:t>
      </w:r>
    </w:p>
    <w:p w:rsidR="006A7313" w:rsidRPr="00877F28" w:rsidRDefault="006A7313" w:rsidP="00415587">
      <w:pPr>
        <w:ind w:left="0" w:hanging="2"/>
        <w:jc w:val="both"/>
        <w:rPr>
          <w:rFonts w:asciiTheme="majorHAnsi" w:eastAsia="Calibri" w:hAnsiTheme="majorHAnsi" w:cstheme="majorHAnsi"/>
          <w:sz w:val="24"/>
          <w:szCs w:val="24"/>
        </w:rPr>
      </w:pPr>
    </w:p>
    <w:p w:rsidR="006A7313" w:rsidRPr="00877F28" w:rsidRDefault="000934A7" w:rsidP="00F25F07">
      <w:pPr>
        <w:numPr>
          <w:ilvl w:val="0"/>
          <w:numId w:val="2"/>
        </w:numPr>
        <w:ind w:leftChars="0" w:left="284" w:hangingChars="101" w:hanging="284"/>
        <w:jc w:val="both"/>
        <w:rPr>
          <w:rFonts w:asciiTheme="majorHAnsi" w:eastAsia="Calibri" w:hAnsiTheme="majorHAnsi" w:cstheme="majorHAnsi"/>
          <w:sz w:val="24"/>
          <w:szCs w:val="24"/>
        </w:rPr>
      </w:pPr>
      <w:r w:rsidRPr="00877F28">
        <w:rPr>
          <w:rFonts w:asciiTheme="majorHAnsi" w:eastAsia="Calibri" w:hAnsiTheme="majorHAnsi" w:cstheme="majorHAnsi"/>
          <w:b/>
          <w:sz w:val="28"/>
          <w:szCs w:val="28"/>
        </w:rPr>
        <w:t>Literature Review</w:t>
      </w:r>
      <w:r w:rsidRPr="00877F28">
        <w:rPr>
          <w:rFonts w:asciiTheme="majorHAnsi" w:eastAsia="Calibri" w:hAnsiTheme="majorHAnsi" w:cstheme="majorHAnsi"/>
          <w:sz w:val="24"/>
          <w:szCs w:val="24"/>
        </w:rPr>
        <w:t xml:space="preserve">  </w:t>
      </w:r>
    </w:p>
    <w:p w:rsidR="004F15E0" w:rsidRPr="00877F28" w:rsidRDefault="00665334" w:rsidP="006E1E85">
      <w:pPr>
        <w:pStyle w:val="NormalWeb"/>
        <w:spacing w:before="0" w:beforeAutospacing="0" w:after="0" w:afterAutospacing="0"/>
        <w:ind w:left="0" w:hanging="2"/>
        <w:jc w:val="both"/>
        <w:rPr>
          <w:rFonts w:asciiTheme="majorHAnsi" w:hAnsiTheme="majorHAnsi" w:cstheme="majorHAnsi"/>
          <w:bCs/>
          <w:position w:val="0"/>
        </w:rPr>
      </w:pPr>
      <w:r w:rsidRPr="00877F28">
        <w:rPr>
          <w:rFonts w:asciiTheme="majorHAnsi" w:hAnsiTheme="majorHAnsi" w:cstheme="majorHAnsi"/>
          <w:position w:val="0"/>
        </w:rPr>
        <w:lastRenderedPageBreak/>
        <w:t xml:space="preserve">Systemic </w:t>
      </w:r>
      <w:proofErr w:type="spellStart"/>
      <w:r w:rsidR="00484C3C" w:rsidRPr="00877F28">
        <w:rPr>
          <w:rFonts w:asciiTheme="majorHAnsi" w:hAnsiTheme="majorHAnsi" w:cstheme="majorHAnsi"/>
          <w:position w:val="0"/>
        </w:rPr>
        <w:t>Systemic</w:t>
      </w:r>
      <w:proofErr w:type="spellEnd"/>
      <w:r w:rsidR="00484C3C" w:rsidRPr="00877F28">
        <w:rPr>
          <w:rFonts w:asciiTheme="majorHAnsi" w:hAnsiTheme="majorHAnsi" w:cstheme="majorHAnsi"/>
          <w:position w:val="0"/>
        </w:rPr>
        <w:t xml:space="preserve"> Functional Linguistics (SFL) provides a comprehensive framework for exploring how language operates across different contexts of meaning. Central to this framework is the interpersonal </w:t>
      </w:r>
      <w:proofErr w:type="spellStart"/>
      <w:r w:rsidR="00484C3C" w:rsidRPr="00877F28">
        <w:rPr>
          <w:rFonts w:asciiTheme="majorHAnsi" w:hAnsiTheme="majorHAnsi" w:cstheme="majorHAnsi"/>
          <w:position w:val="0"/>
        </w:rPr>
        <w:t>metafunction</w:t>
      </w:r>
      <w:proofErr w:type="spellEnd"/>
      <w:r w:rsidR="00484C3C" w:rsidRPr="00877F28">
        <w:rPr>
          <w:rFonts w:asciiTheme="majorHAnsi" w:hAnsiTheme="majorHAnsi" w:cstheme="majorHAnsi"/>
          <w:position w:val="0"/>
        </w:rPr>
        <w:t xml:space="preserve">, which explains how language manages relationships, negotiates roles, and expresses attitudes between speakers and audiences. By employing resources such as mood, modality, and evaluative expressions, texts are able to project authority, create solidarity, and shape social interaction. This makes SFL particularly effective for examining slogans, which condense complex meanings into short, persuasive, and ideologically charged statements. </w:t>
      </w:r>
      <w:r w:rsidR="00484C3C" w:rsidRPr="00877F28">
        <w:rPr>
          <w:rFonts w:asciiTheme="majorHAnsi" w:hAnsiTheme="majorHAnsi" w:cstheme="majorHAnsi"/>
          <w:bCs/>
          <w:position w:val="0"/>
        </w:rPr>
        <w:t xml:space="preserve">In this research, the SFL approach is used to analyze language elements such as mode, mood, and tenor, which reveal how interpersonal meaning is constructed and conveyed. Interpersonal choices play a crucial role in shaping relationships, influencing engagement, and enhancing the effectiveness of communication between text producers and audiences. </w:t>
      </w:r>
      <w:r w:rsidR="004F15E0" w:rsidRPr="00877F28">
        <w:rPr>
          <w:rFonts w:asciiTheme="majorHAnsi" w:hAnsiTheme="majorHAnsi" w:cstheme="majorHAnsi"/>
        </w:rPr>
        <w:t xml:space="preserve">SFL not only offers descriptive models but also provides analytical tools to study text, discourse, and grammar, viewing language as a social semiotic system that reflects and shapes culture </w:t>
      </w:r>
      <w:r w:rsidR="004F15E0" w:rsidRPr="00877F28">
        <w:rPr>
          <w:rFonts w:asciiTheme="majorHAnsi" w:hAnsiTheme="majorHAnsi" w:cstheme="majorHAnsi"/>
        </w:rPr>
        <w:fldChar w:fldCharType="begin" w:fldLock="1"/>
      </w:r>
      <w:r w:rsidR="004F15E0" w:rsidRPr="00877F28">
        <w:rPr>
          <w:rFonts w:asciiTheme="majorHAnsi" w:hAnsiTheme="majorHAnsi" w:cstheme="majorHAnsi"/>
        </w:rPr>
        <w:instrText>ADDIN CSL_CITATION {"citationItems":[{"id":"ITEM-1","itemData":{"DOI":"10.52622/joal.v3i2.187","ISSN":"2809-1914","abstract":"The purpose of this study was to analyze practical literature with a systemic functional linguistics approach. The ideal, textual, and interpersonal meanings will be analyzed using the short story “Cinderaras” by Cerita Rakyat from East Java. The researchers used descriptive qualitative methods. The stories were divided into sections and analyzed into tables using Systemic  Functional Linguistics (SFL). The result of ideational metafunction analysis showed that most of the text used material and verbal processes which reached the value of 33,33%, behavioral processes reached the value of 22,22% and the last was 11,11% of behavioral processes. The result of textual metafunction analysis showed that 83,33% were topical unmarked themes and 16,66% were topical marked themes. In other words, it can be said that the “Cinderaras” was simple and concise and focused on actions and events and how the characters communicate, speak, or interact with each other.\r Keywords: systemic functional linguistics; short story","author":[{"dropping-particle":"","family":"Harahap","given":"Risma Sabrina","non-dropping-particle":"","parse-names":false,"suffix":""},{"dropping-particle":"","family":"Tifani Angrayani","given":"","non-dropping-particle":"","parse-names":false,"suffix":""},{"dropping-particle":"","family":"Rafli Firmansyah Putra","given":"","non-dropping-particle":"","parse-names":false,"suffix":""},{"dropping-particle":"","family":"Edi Suprayetno","given":"","non-dropping-particle":"","parse-names":false,"suffix":""}],"container-title":"Journal of Applied Linguistics","id":"ITEM-1","issue":"2","issued":{"date-parts":[["2024"]]},"page":"34-43","title":"A Systemic Functional Linguistics (SFL) Analysis on Short story Cindelaras by Cerita Rakyat from East Java","type":"article-journal","volume":"3"},"uris":["http://www.mendeley.com/documents/?uuid=7455df56-7887-42e1-9269-0d7a0c9ec200"]}],"mendeley":{"formattedCitation":"(Harahap et al., 2024)","plainTextFormattedCitation":"(Harahap et al., 2024)","previouslyFormattedCitation":"(Harahap et al., 2024)"},"properties":{"noteIndex":0},"schema":"https://github.com/citation-style-language/schema/raw/master/csl-citation.json"}</w:instrText>
      </w:r>
      <w:r w:rsidR="004F15E0" w:rsidRPr="00877F28">
        <w:rPr>
          <w:rFonts w:asciiTheme="majorHAnsi" w:hAnsiTheme="majorHAnsi" w:cstheme="majorHAnsi"/>
        </w:rPr>
        <w:fldChar w:fldCharType="separate"/>
      </w:r>
      <w:r w:rsidR="004F15E0" w:rsidRPr="00877F28">
        <w:rPr>
          <w:rFonts w:asciiTheme="majorHAnsi" w:hAnsiTheme="majorHAnsi" w:cstheme="majorHAnsi"/>
          <w:noProof/>
        </w:rPr>
        <w:t>(Harahap et al., 2024)</w:t>
      </w:r>
      <w:r w:rsidR="004F15E0" w:rsidRPr="00877F28">
        <w:rPr>
          <w:rFonts w:asciiTheme="majorHAnsi" w:hAnsiTheme="majorHAnsi" w:cstheme="majorHAnsi"/>
        </w:rPr>
        <w:fldChar w:fldCharType="end"/>
      </w:r>
      <w:r w:rsidR="004F15E0" w:rsidRPr="00877F28">
        <w:rPr>
          <w:rFonts w:asciiTheme="majorHAnsi" w:hAnsiTheme="majorHAnsi" w:cstheme="majorHAnsi"/>
        </w:rPr>
        <w:t xml:space="preserve">. </w:t>
      </w:r>
      <w:r w:rsidR="00484C3C" w:rsidRPr="00877F28">
        <w:rPr>
          <w:rFonts w:asciiTheme="majorHAnsi" w:hAnsiTheme="majorHAnsi" w:cstheme="majorHAnsi"/>
          <w:bCs/>
          <w:position w:val="0"/>
        </w:rPr>
        <w:t>While many studies have applied SFL to analyze language use in various contexts, much of the focus has been on ideational and textual meanings. However, less attention has been given to how interpersonal meaning is realized, particularly through mood and modality, in texts designed to influence society. This study addresses that gap by showing how interpersonal features in slogans contribute to reinforcing national identity and guiding collective aspirations</w:t>
      </w:r>
      <w:r w:rsidR="004F15E0" w:rsidRPr="00877F28">
        <w:rPr>
          <w:rFonts w:asciiTheme="majorHAnsi" w:hAnsiTheme="majorHAnsi" w:cstheme="majorHAnsi"/>
          <w:bCs/>
          <w:position w:val="0"/>
        </w:rPr>
        <w:t xml:space="preserve"> </w:t>
      </w:r>
      <w:r w:rsidR="004F15E0" w:rsidRPr="00877F28">
        <w:rPr>
          <w:rFonts w:asciiTheme="majorHAnsi" w:hAnsiTheme="majorHAnsi" w:cstheme="majorHAnsi"/>
          <w:bCs/>
          <w:position w:val="0"/>
        </w:rPr>
        <w:fldChar w:fldCharType="begin" w:fldLock="1"/>
      </w:r>
      <w:r w:rsidR="00077DC0" w:rsidRPr="00877F28">
        <w:rPr>
          <w:rFonts w:asciiTheme="majorHAnsi" w:hAnsiTheme="majorHAnsi" w:cstheme="majorHAnsi"/>
          <w:bCs/>
          <w:position w:val="0"/>
        </w:rPr>
        <w:instrText>ADDIN CSL_CITATION {"citationItems":[{"id":"ITEM-1","itemData":{"DOI":"10.2991/978-2-38476-333-7_13","ISBN":"9782384763337","abstract":"This study explores the representation of interpersonal meaning in classroom interactions through mood realization and modality, drawing on Hal liday's Systemic Functional Linguistics (SFL) framework. The research focuses on how teachers use different moods, such as declarative, interrogative, and im perative, to structure classroom discourse. The findings indicate that declarative mood is the most commonly employed, reflecting the teacher’s primary role in delivering information, directing the lesson flow, and ensuring that students re ceive the necessary guidance for learning. The interrogative mood engages stu dents by asking questions that prompt critical thinking and interaction, while the imperative mood facilitates commands and requests to guide student behavior and learning tasks. In terms of modality, the study reveals that high-probability markers dominate, indicating the teacher’s confidence and certainty in the knowledge being presented. Modulation, particularly tendency modulation, fur ther emphasizes the teacher’s efforts to actively motivate students to participate in discussions, fostering a collaborative learning environment. Using various modal choices, the teacher transfers knowledge, establishes authority, and builds a supportive relationship with students, encouraging them to explore subjects more deeply. The interaction between mood and modality in classroom discourse illustrates the teacher’s role in shaping a productive learning atmosphere. This, in turn, influences student engagement, motivation, and learning outcomes. The study contributes to a deeper understanding of how language functions in educa tional settings and highlights the importance of linguistic strategies in effective classroom management and student involvement.","author":[{"dropping-particle":"","family":"Luthfiyati","given":"Dian","non-dropping-particle":"","parse-names":false,"suffix":""},{"dropping-particle":"","family":"Widyastuti","given":"Widyastuti","non-dropping-particle":"","parse-names":false,"suffix":""},{"dropping-particle":"","family":"Suhartono","given":"Suhartono","non-dropping-particle":"","parse-names":false,"suffix":""}],"id":"ITEM-1","issued":{"date-parts":[["2024"]]},"number-of-pages":"152-167","publisher":"Atlantis Press SARL","title":"An Analysis of Systemic Functional Linguistics Interpersonal Meaning Representation in Classroom Interaction","type":"book"},"uris":["http://www.mendeley.com/documents/?uuid=6f8160dc-0dae-4957-bd86-0f86105c7367"]}],"mendeley":{"formattedCitation":"(Luthfiyati et al., 2024)","plainTextFormattedCitation":"(Luthfiyati et al., 2024)","previouslyFormattedCitation":"(Luthfiyati et al., 2024)"},"properties":{"noteIndex":0},"schema":"https://github.com/citation-style-language/schema/raw/master/csl-citation.json"}</w:instrText>
      </w:r>
      <w:r w:rsidR="004F15E0" w:rsidRPr="00877F28">
        <w:rPr>
          <w:rFonts w:asciiTheme="majorHAnsi" w:hAnsiTheme="majorHAnsi" w:cstheme="majorHAnsi"/>
          <w:bCs/>
          <w:position w:val="0"/>
        </w:rPr>
        <w:fldChar w:fldCharType="separate"/>
      </w:r>
      <w:r w:rsidR="004F15E0" w:rsidRPr="00877F28">
        <w:rPr>
          <w:rFonts w:asciiTheme="majorHAnsi" w:hAnsiTheme="majorHAnsi" w:cstheme="majorHAnsi"/>
          <w:bCs/>
          <w:noProof/>
          <w:position w:val="0"/>
        </w:rPr>
        <w:t>(Luthfiyati et al., 2024)</w:t>
      </w:r>
      <w:r w:rsidR="004F15E0" w:rsidRPr="00877F28">
        <w:rPr>
          <w:rFonts w:asciiTheme="majorHAnsi" w:hAnsiTheme="majorHAnsi" w:cstheme="majorHAnsi"/>
          <w:bCs/>
          <w:position w:val="0"/>
        </w:rPr>
        <w:fldChar w:fldCharType="end"/>
      </w:r>
      <w:r w:rsidR="00484C3C" w:rsidRPr="00877F28">
        <w:rPr>
          <w:rFonts w:asciiTheme="majorHAnsi" w:hAnsiTheme="majorHAnsi" w:cstheme="majorHAnsi"/>
          <w:bCs/>
          <w:position w:val="0"/>
        </w:rPr>
        <w:t>.</w:t>
      </w:r>
    </w:p>
    <w:p w:rsidR="004F15E0" w:rsidRPr="00877F28" w:rsidRDefault="00665334" w:rsidP="006E1E85">
      <w:pPr>
        <w:pStyle w:val="NormalWeb"/>
        <w:spacing w:before="0" w:beforeAutospacing="0" w:after="0" w:afterAutospacing="0"/>
        <w:ind w:left="0" w:hanging="2"/>
        <w:jc w:val="both"/>
        <w:rPr>
          <w:rFonts w:asciiTheme="majorHAnsi" w:hAnsiTheme="majorHAnsi" w:cstheme="majorHAnsi"/>
          <w:position w:val="0"/>
        </w:rPr>
      </w:pPr>
      <w:r w:rsidRPr="00877F28">
        <w:rPr>
          <w:rFonts w:asciiTheme="majorHAnsi" w:hAnsiTheme="majorHAnsi" w:cstheme="majorHAnsi"/>
          <w:position w:val="0"/>
        </w:rPr>
        <w:t xml:space="preserve">The </w:t>
      </w:r>
      <w:proofErr w:type="spellStart"/>
      <w:proofErr w:type="gramStart"/>
      <w:r w:rsidR="004F15E0" w:rsidRPr="00877F28">
        <w:rPr>
          <w:rFonts w:asciiTheme="majorHAnsi" w:hAnsiTheme="majorHAnsi" w:cstheme="majorHAnsi"/>
          <w:position w:val="0"/>
        </w:rPr>
        <w:t>The</w:t>
      </w:r>
      <w:proofErr w:type="spellEnd"/>
      <w:proofErr w:type="gramEnd"/>
      <w:r w:rsidR="004F15E0" w:rsidRPr="00877F28">
        <w:rPr>
          <w:rFonts w:asciiTheme="majorHAnsi" w:hAnsiTheme="majorHAnsi" w:cstheme="majorHAnsi"/>
          <w:position w:val="0"/>
        </w:rPr>
        <w:t xml:space="preserve"> usefulness of the interpersonal </w:t>
      </w:r>
      <w:proofErr w:type="spellStart"/>
      <w:r w:rsidR="004F15E0" w:rsidRPr="00877F28">
        <w:rPr>
          <w:rFonts w:asciiTheme="majorHAnsi" w:hAnsiTheme="majorHAnsi" w:cstheme="majorHAnsi"/>
          <w:position w:val="0"/>
        </w:rPr>
        <w:t>metafunction</w:t>
      </w:r>
      <w:proofErr w:type="spellEnd"/>
      <w:r w:rsidR="004F15E0" w:rsidRPr="00877F28">
        <w:rPr>
          <w:rFonts w:asciiTheme="majorHAnsi" w:hAnsiTheme="majorHAnsi" w:cstheme="majorHAnsi"/>
          <w:position w:val="0"/>
        </w:rPr>
        <w:t xml:space="preserve"> has been highlighted in diverse studies of political communication, advertising discourse, and educational contexts. These investigations reveal that language does not merely transfer information but actively positions </w:t>
      </w:r>
      <w:proofErr w:type="gramStart"/>
      <w:r w:rsidR="004F15E0" w:rsidRPr="00877F28">
        <w:rPr>
          <w:rFonts w:asciiTheme="majorHAnsi" w:hAnsiTheme="majorHAnsi" w:cstheme="majorHAnsi"/>
          <w:position w:val="0"/>
        </w:rPr>
        <w:t>audiences</w:t>
      </w:r>
      <w:proofErr w:type="gramEnd"/>
      <w:r w:rsidR="004F15E0" w:rsidRPr="00877F28">
        <w:rPr>
          <w:rFonts w:asciiTheme="majorHAnsi" w:hAnsiTheme="majorHAnsi" w:cstheme="majorHAnsi"/>
          <w:position w:val="0"/>
        </w:rPr>
        <w:t xml:space="preserve"> in particular social relationships. In short, it establishes who speaks, who listens, and how each participant is expected to respond. Given that slogans must perform these roles within a restricted linguistic space, the study of their interpersonal elements becomes essential for understanding how they achieve both memorability and persuasive power. </w:t>
      </w:r>
      <w:r w:rsidR="004F15E0" w:rsidRPr="00877F28">
        <w:rPr>
          <w:rFonts w:asciiTheme="majorHAnsi" w:hAnsiTheme="majorHAnsi" w:cstheme="majorHAnsi"/>
          <w:bCs/>
          <w:position w:val="0"/>
        </w:rPr>
        <w:t xml:space="preserve">Slogans are one of the most effective linguistic tools because they are designed to be short, purposeful, and easy to remember, thereby shaping collective perception. They are often formulated in concise clauses or sentences that function grammatically while also carrying persuasive force </w:t>
      </w:r>
      <w:r w:rsidR="004F15E0" w:rsidRPr="00877F28">
        <w:rPr>
          <w:rFonts w:asciiTheme="majorHAnsi" w:hAnsiTheme="majorHAnsi" w:cstheme="majorHAnsi"/>
          <w:bCs/>
          <w:position w:val="0"/>
        </w:rPr>
        <w:fldChar w:fldCharType="begin" w:fldLock="1"/>
      </w:r>
      <w:r w:rsidR="004F15E0" w:rsidRPr="00877F28">
        <w:rPr>
          <w:rFonts w:asciiTheme="majorHAnsi" w:hAnsiTheme="majorHAnsi" w:cstheme="majorHAnsi"/>
          <w:bCs/>
          <w:position w:val="0"/>
        </w:rPr>
        <w:instrText>ADDIN CSL_CITATION {"citationItems":[{"id":"ITEM-1","itemData":{"DOI":"10.33650/ijoeel.v6i1.8194","ISSN":"2656-2030","abstract":"This study presents an interpersonal metafunction analysis of smartphone slogans. Since the smartphone has been extensively commercialized, companies create different slogans for every single edition. Though it is usually formulated in short-purposive phrases and does not straightforwardly magnetize purchasers, the slogan is a form of language to support a market campaign. Slogans are usually embodied in clauses or sentences; part of grammar; a “system of wordings” (Matthiessen and Halliday: 1997). The Systemic Functional Linguistics (SFL) approach was conducted to scrutinize the realization of the lexicogrammar level revealed through MOOD’s interpersonal meaning. By using the descriptive qualitative method, SFL, and UAM CorpusTool,  it was found that the realization of MOOD in this study shown in percentage; declarative clause 6,4% or N=51; interrogative clause 0,1% or N=1; and imperative clause 3,4% or N=27. This result, it shows that the declarative clause is the most frequently used in creating smartphone slogans, to provide information and offering products at once. It can be concluded that from selected smartphone slogans, predominantly, companies shows that they have a wider knowledge of the products through delivering, informing, offering, demanding, and commanding customers. Ergo, success in acknowledging their prospective customers about their products’ eminence will attract customers.   ","author":[{"dropping-particle":"","family":"Sumari","given":"Binti Aisiah Daning","non-dropping-particle":"","parse-names":false,"suffix":""}],"container-title":"International Journal of English Education and Linguistics (IJoEEL)","id":"ITEM-1","issue":"1","issued":{"date-parts":[["2024"]]},"page":"81-91","title":"Interpersonal Metafunction Analysis of Smartphone Slogans","type":"article-journal","volume":"6"},"uris":["http://www.mendeley.com/documents/?uuid=abcb8746-1d39-4b56-9a85-444c7e0e03bf"]}],"mendeley":{"formattedCitation":"(Sumari, 2024)","plainTextFormattedCitation":"(Sumari, 2024)","previouslyFormattedCitation":"(Sumari, 2024)"},"properties":{"noteIndex":0},"schema":"https://github.com/citation-style-language/schema/raw/master/csl-citation.json"}</w:instrText>
      </w:r>
      <w:r w:rsidR="004F15E0" w:rsidRPr="00877F28">
        <w:rPr>
          <w:rFonts w:asciiTheme="majorHAnsi" w:hAnsiTheme="majorHAnsi" w:cstheme="majorHAnsi"/>
          <w:bCs/>
          <w:position w:val="0"/>
        </w:rPr>
        <w:fldChar w:fldCharType="separate"/>
      </w:r>
      <w:r w:rsidR="004F15E0" w:rsidRPr="00877F28">
        <w:rPr>
          <w:rFonts w:asciiTheme="majorHAnsi" w:hAnsiTheme="majorHAnsi" w:cstheme="majorHAnsi"/>
          <w:bCs/>
          <w:noProof/>
          <w:position w:val="0"/>
        </w:rPr>
        <w:t>(Sumari, 2024)</w:t>
      </w:r>
      <w:r w:rsidR="004F15E0" w:rsidRPr="00877F28">
        <w:rPr>
          <w:rFonts w:asciiTheme="majorHAnsi" w:hAnsiTheme="majorHAnsi" w:cstheme="majorHAnsi"/>
          <w:bCs/>
          <w:position w:val="0"/>
        </w:rPr>
        <w:fldChar w:fldCharType="end"/>
      </w:r>
      <w:r w:rsidR="004F15E0" w:rsidRPr="00877F28">
        <w:rPr>
          <w:rFonts w:asciiTheme="majorHAnsi" w:hAnsiTheme="majorHAnsi" w:cstheme="majorHAnsi"/>
          <w:bCs/>
          <w:position w:val="0"/>
        </w:rPr>
        <w:t xml:space="preserve">. In commercial contexts, slogans have been studied as part of branding strategies, such as in smartphone advertisements where each product edition is promoted with a different slogan. Similarly, in the context of national identity, state-produced slogans function to unify, persuade, and mobilize citizens. Using the Systemic Functional Linguistics (SFL) framework, the analysis of slogans at the </w:t>
      </w:r>
      <w:proofErr w:type="spellStart"/>
      <w:r w:rsidR="004F15E0" w:rsidRPr="00877F28">
        <w:rPr>
          <w:rFonts w:asciiTheme="majorHAnsi" w:hAnsiTheme="majorHAnsi" w:cstheme="majorHAnsi"/>
          <w:bCs/>
          <w:position w:val="0"/>
        </w:rPr>
        <w:t>lexicogrammatical</w:t>
      </w:r>
      <w:proofErr w:type="spellEnd"/>
      <w:r w:rsidR="004F15E0" w:rsidRPr="00877F28">
        <w:rPr>
          <w:rFonts w:asciiTheme="majorHAnsi" w:hAnsiTheme="majorHAnsi" w:cstheme="majorHAnsi"/>
          <w:bCs/>
          <w:position w:val="0"/>
        </w:rPr>
        <w:t xml:space="preserve"> level—particularly through the interpersonal meaning of MOOD—reveals how language choices influence audiences and reinforce shared values.</w:t>
      </w:r>
    </w:p>
    <w:p w:rsidR="004F15E0" w:rsidRPr="00877F28" w:rsidRDefault="004F15E0" w:rsidP="006E1E85">
      <w:pPr>
        <w:suppressAutoHyphens w:val="0"/>
        <w:spacing w:line="240" w:lineRule="auto"/>
        <w:ind w:leftChars="0" w:firstLineChars="0" w:firstLine="0"/>
        <w:jc w:val="both"/>
        <w:textDirection w:val="lrTb"/>
        <w:textAlignment w:val="auto"/>
        <w:outlineLvl w:val="9"/>
        <w:rPr>
          <w:rFonts w:asciiTheme="majorHAnsi" w:hAnsiTheme="majorHAnsi" w:cstheme="majorHAnsi"/>
          <w:sz w:val="28"/>
          <w:szCs w:val="24"/>
        </w:rPr>
      </w:pPr>
      <w:r w:rsidRPr="00877F28">
        <w:rPr>
          <w:rFonts w:asciiTheme="majorHAnsi" w:hAnsiTheme="majorHAnsi" w:cstheme="majorHAnsi"/>
          <w:sz w:val="24"/>
          <w:szCs w:val="24"/>
        </w:rPr>
        <w:t xml:space="preserve">In this regard, slogans function not only as linguistic artifacts but also as ideological instruments. Their rhetorical effectiveness arises from strategic linguistic choices such as the use of inclusive pronouns, declarative mood, and modal verbs that assert obligation or possibility. These features enable slogans to simultaneously reinforce authority and foster a sense of collective belonging. </w:t>
      </w:r>
      <w:r w:rsidRPr="00877F28">
        <w:rPr>
          <w:rFonts w:asciiTheme="majorHAnsi" w:hAnsiTheme="majorHAnsi" w:cstheme="majorHAnsi"/>
          <w:bCs/>
          <w:sz w:val="24"/>
          <w:szCs w:val="24"/>
        </w:rPr>
        <w:t>Beyond their ideological role, slogans also operate as powerful marketing tools that shape consumer perceptions, where the presence or absence of a slogan can affect how audiences evaluate a product’s quality. Through stylistic devices such as repetition, rhythm, and persuasive lexical choices (e.g., “always,” “forever,” “everything”), slogans increase memorability and engagement, demonstrating how linguistic form directly contributes to consumer response</w:t>
      </w:r>
      <w:r w:rsidR="00077DC0" w:rsidRPr="00877F28">
        <w:rPr>
          <w:rFonts w:asciiTheme="majorHAnsi" w:hAnsiTheme="majorHAnsi" w:cstheme="majorHAnsi"/>
          <w:bCs/>
          <w:sz w:val="24"/>
          <w:szCs w:val="24"/>
        </w:rPr>
        <w:t xml:space="preserve"> </w:t>
      </w:r>
      <w:r w:rsidR="00077DC0" w:rsidRPr="00877F28">
        <w:rPr>
          <w:rFonts w:asciiTheme="majorHAnsi" w:hAnsiTheme="majorHAnsi" w:cstheme="majorHAnsi"/>
          <w:bCs/>
          <w:sz w:val="24"/>
          <w:szCs w:val="24"/>
        </w:rPr>
        <w:fldChar w:fldCharType="begin" w:fldLock="1"/>
      </w:r>
      <w:r w:rsidR="00AD1B4D" w:rsidRPr="00877F28">
        <w:rPr>
          <w:rFonts w:asciiTheme="majorHAnsi" w:hAnsiTheme="majorHAnsi" w:cstheme="majorHAnsi"/>
          <w:bCs/>
          <w:sz w:val="24"/>
          <w:szCs w:val="24"/>
        </w:rPr>
        <w:instrText>ADDIN CSL_CITATION {"citationItems":[{"id":"ITEM-1","itemData":{"DOI":"10.17509/IJAL.V13I3.66939","ISSN":"25026747","abstract":"Slogans use a variety of language features to entice potential purchasers. For Indonesian products to compete worldwide successfully, companies must engage in more efficient marketing strategies, such as using English slogans. This study examines the linguistic aspects of English slogans produced by Indonesian brands. The question addressed in this research is related to linguistic aspects that occur in slogans. We collected a slogan corpus data consisting of 225 slogans. The slogans were taken from the Indonesian company’s product websites and marketplaces. The data were classified manually based on the linguistic aspects covering phonological style, word formation process, figurative language, and speech acts. We present the data in both qualitative description and quantitative analysis using simple statistical measures. The results show that alliteration, hyperbole, and assertive statements are noticeable patterns that Indonesian companies use to promote their products. The reason why sound repetition occurs in slogans is to make the slogan more memorable. A simple morphological process is employed to generate slogans, which also helps readers remember them. Furthermore, the use of hyperbole makes the audience feel connected to the product. Finally, assertiveness as a primary pragmatic strategy promotes product quality and buyer benefits. From a linguistics perspective, our findings shed light on the criteria for slogans to be memorable.","author":[{"dropping-particle":"","family":"Denistia","given":"Karlina","non-dropping-particle":"","parse-names":false,"suffix":""},{"dropping-particle":"","family":"Yuda","given":"Jotika Purnama","non-dropping-particle":"","parse-names":false,"suffix":""},{"dropping-particle":"","family":"Perwira","given":"Yanuarria Kukuh","non-dropping-particle":"","parse-names":false,"suffix":""},{"dropping-particle":"","family":"Sari","given":"Intan Mustika","non-dropping-particle":"","parse-names":false,"suffix":""},{"dropping-particle":"","family":"Wulandari","given":"Desi","non-dropping-particle":"","parse-names":false,"suffix":""},{"dropping-particle":"","family":"Priyanto","given":"Agus Dwi","non-dropping-particle":"","parse-names":false,"suffix":""}],"container-title":"Indonesian Journal of Applied Linguistics","id":"ITEM-1","issue":"3","issued":{"date-parts":[["2024"]]},"page":"535-546","title":"Linguistic aspects of English slogans in Indonesian products","type":"article-journal","volume":"13"},"uris":["http://www.mendeley.com/documents/?uuid=291142a0-b06c-4106-8d44-ca0285c50c38"]}],"mendeley":{"formattedCitation":"(Denistia et al., 2024)","plainTextFormattedCitation":"(Denistia et al., 2024)","previouslyFormattedCitation":"(Denistia et al., 2024)"},"properties":{"noteIndex":0},"schema":"https://github.com/citation-style-language/schema/raw/master/csl-citation.json"}</w:instrText>
      </w:r>
      <w:r w:rsidR="00077DC0" w:rsidRPr="00877F28">
        <w:rPr>
          <w:rFonts w:asciiTheme="majorHAnsi" w:hAnsiTheme="majorHAnsi" w:cstheme="majorHAnsi"/>
          <w:bCs/>
          <w:sz w:val="24"/>
          <w:szCs w:val="24"/>
        </w:rPr>
        <w:fldChar w:fldCharType="separate"/>
      </w:r>
      <w:r w:rsidR="00077DC0" w:rsidRPr="00877F28">
        <w:rPr>
          <w:rFonts w:asciiTheme="majorHAnsi" w:hAnsiTheme="majorHAnsi" w:cstheme="majorHAnsi"/>
          <w:bCs/>
          <w:noProof/>
          <w:sz w:val="24"/>
          <w:szCs w:val="24"/>
        </w:rPr>
        <w:t>(Denistia et al., 2024)</w:t>
      </w:r>
      <w:r w:rsidR="00077DC0" w:rsidRPr="00877F28">
        <w:rPr>
          <w:rFonts w:asciiTheme="majorHAnsi" w:hAnsiTheme="majorHAnsi" w:cstheme="majorHAnsi"/>
          <w:bCs/>
          <w:sz w:val="24"/>
          <w:szCs w:val="24"/>
        </w:rPr>
        <w:fldChar w:fldCharType="end"/>
      </w:r>
      <w:r w:rsidRPr="00877F28">
        <w:rPr>
          <w:rFonts w:asciiTheme="majorHAnsi" w:hAnsiTheme="majorHAnsi" w:cstheme="majorHAnsi"/>
          <w:bCs/>
          <w:sz w:val="24"/>
          <w:szCs w:val="24"/>
        </w:rPr>
        <w:t>.</w:t>
      </w:r>
      <w:r w:rsidRPr="00877F28">
        <w:rPr>
          <w:rFonts w:asciiTheme="majorHAnsi" w:hAnsiTheme="majorHAnsi" w:cstheme="majorHAnsi"/>
          <w:sz w:val="24"/>
          <w:szCs w:val="24"/>
        </w:rPr>
        <w:t xml:space="preserve"> </w:t>
      </w:r>
      <w:r w:rsidR="00AD1B4D" w:rsidRPr="00877F28">
        <w:rPr>
          <w:rFonts w:asciiTheme="majorHAnsi" w:hAnsiTheme="majorHAnsi" w:cstheme="majorHAnsi"/>
          <w:bCs/>
          <w:sz w:val="24"/>
        </w:rPr>
        <w:t xml:space="preserve">Advertising slogans form an essential component of brand communication and often act as the first impression of a product. In the </w:t>
      </w:r>
      <w:r w:rsidR="00AD1B4D" w:rsidRPr="00877F28">
        <w:rPr>
          <w:rFonts w:asciiTheme="majorHAnsi" w:hAnsiTheme="majorHAnsi" w:cstheme="majorHAnsi"/>
          <w:bCs/>
          <w:sz w:val="24"/>
        </w:rPr>
        <w:lastRenderedPageBreak/>
        <w:t xml:space="preserve">globalized economy, their effective translation becomes crucial for successful cross-cultural marketing, yet this task remains challenging due to linguistic and cultural differences. Beyond the commercial sphere, slogans also play a significant role in politics, functioning not merely as campaign phrases but as mechanisms of persuasion, identity construction, and ideological control. Whether in business or politics, slogans serve to legitimize authority, mobilize support, and reinforce or challenge dominant structures, thereby shaping public perception and sustaining shared identities across cultural contexts </w:t>
      </w:r>
      <w:r w:rsidR="00AD1B4D" w:rsidRPr="00877F28">
        <w:rPr>
          <w:rFonts w:asciiTheme="majorHAnsi" w:hAnsiTheme="majorHAnsi" w:cstheme="majorHAnsi"/>
          <w:bCs/>
          <w:sz w:val="24"/>
        </w:rPr>
        <w:fldChar w:fldCharType="begin" w:fldLock="1"/>
      </w:r>
      <w:r w:rsidR="00AD1B4D" w:rsidRPr="00877F28">
        <w:rPr>
          <w:rFonts w:asciiTheme="majorHAnsi" w:hAnsiTheme="majorHAnsi" w:cstheme="majorHAnsi"/>
          <w:bCs/>
          <w:sz w:val="24"/>
        </w:rPr>
        <w:instrText>ADDIN CSL_CITATION {"citationItems":[{"id":"ITEM-1","itemData":{"DOI":"10.62250/nsuk.2025.33.1.180-199","ISSN":"23610034","abstract":"Language is a powerful tool through which political actors assert influence, shape power dynamics, and construct political identities. The study addresses the problem of how political slogans function as mechanisms of persuasion and ideological control in Nigeria’s democratic process. Thus, this study examines the intersection of language, power, and identity in Nigerian political discourse through a critical analysis of slogans from the All Progressives Congress (APC) and the People’s Democratic Party (PDP). Using Critical Discourse Analysis (CDA) as a theoretical framework, the study examines how political slogans function as linguistic tools for constructing party identities, asserting legitimacy, and mobilizing voter support. By analyzing the linguistic and ideological patterns within political slogans, this study highlights the role of language in shaping power dynamics and national identity in Nigeria’s democratic landscape. Drawing on Nigerian elections from 1999 to 2023, the research employs qualitative discourse analysis to uncover the rhetorical and ideological strategies embedded in these slogans. Findings reveal that APC and PDP slogans are not merely campaign phrases but powerful instruments for reinforcing or challenging political structures. It is also revealed that through persuasive techniques such as emotional appeals, cultural references, and rhetorical framing, these slogans shape public perception, influence electoral behaviour, and sustain or contest dominant ideologies. The study concludes that navigating Nigeria’s linguistic and cultural diversity is key to electoral success, as political language remains central to uniting, persuading, and shaping the nation’s political landscape.","author":[{"dropping-particle":"","family":"Anjorin-Ojewole","given":"Ruth","non-dropping-particle":"","parse-names":false,"suffix":""},{"dropping-particle":"","family":"Idowu","given":"Olubunmi","non-dropping-particle":"","parse-names":false,"suffix":""},{"dropping-particle":"","family":"Kalejaiye","given":"Abiola","non-dropping-particle":"","parse-names":false,"suffix":""}],"container-title":"Nsukka Journal of the Humanities","id":"ITEM-1","issue":"1","issued":{"date-parts":[["2025"]]},"page":"180-199","title":"Language, Power, and Identity: A Discourse Analysis of APC and PDP Slogans","type":"article-journal","volume":"33"},"uris":["http://www.mendeley.com/documents/?uuid=f55e3db5-5d27-494c-a698-4562c79aa89c"]},{"id":"ITEM-2","itemData":{"DOI":"10.18178/ijlll.2025.11.1.564","ISSN":"23826282","abstract":"Advertising slogans form an essential component of brand communication and serve as the initial impression of a product. In the current globalized economy, effective translation of advertising slogans is critical for cross-cultural marketing. The translation of advertising slogans presents unique challenges due to linguistic and cultural differences between languages, such as Chinese and English. This study begins by outlining the defining characteristics of advertising slogans, such as brevity, creativity, and rhetorical richness. It categorizes translation strategies into four main approaches: literal translation, free translation, creative translation, and condensed translation. Each strategy’s effectiveness is examined through comparative and qualitative analysis of real-world examples from well-known brands, with a focus on preserving cultural resonance, emotional appeal, and stylistic coherence. Additionally, it explores common rhetorical devices used in advertising slogan translation to enhance appeal across diverse audiences. Through theoretical frameworks and empirical analysis, this study aims to deepen understanding of effective advertising slogan translation strategies.","author":[{"dropping-particle":"","family":"Li","given":"Yixue","non-dropping-particle":"","parse-names":false,"suffix":""}],"container-title":"International Journal of Languages, Literature and Linguistics","id":"ITEM-2","issue":"1","issued":{"date-parts":[["2025"]]},"page":"5-11","title":"Strategies and Challenges in Advertising Slogan Translation: A Theoretical and Empirical Analysis","type":"article-journal","volume":"11"},"uris":["http://www.mendeley.com/documents/?uuid=639f73dc-4397-4976-8565-2920295bcfb5"]}],"mendeley":{"formattedCitation":"(Anjorin-Ojewole et al., 2025; Li, 2025)","plainTextFormattedCitation":"(Anjorin-Ojewole et al., 2025; Li, 2025)","previouslyFormattedCitation":"(Anjorin-Ojewole et al., 2025; Li, 2025)"},"properties":{"noteIndex":0},"schema":"https://github.com/citation-style-language/schema/raw/master/csl-citation.json"}</w:instrText>
      </w:r>
      <w:r w:rsidR="00AD1B4D" w:rsidRPr="00877F28">
        <w:rPr>
          <w:rFonts w:asciiTheme="majorHAnsi" w:hAnsiTheme="majorHAnsi" w:cstheme="majorHAnsi"/>
          <w:bCs/>
          <w:sz w:val="24"/>
        </w:rPr>
        <w:fldChar w:fldCharType="separate"/>
      </w:r>
      <w:r w:rsidR="00AD1B4D" w:rsidRPr="00877F28">
        <w:rPr>
          <w:rFonts w:asciiTheme="majorHAnsi" w:hAnsiTheme="majorHAnsi" w:cstheme="majorHAnsi"/>
          <w:bCs/>
          <w:noProof/>
          <w:sz w:val="24"/>
        </w:rPr>
        <w:t>(Anjorin-Ojewole et al., 2025; Li, 2025)</w:t>
      </w:r>
      <w:r w:rsidR="00AD1B4D" w:rsidRPr="00877F28">
        <w:rPr>
          <w:rFonts w:asciiTheme="majorHAnsi" w:hAnsiTheme="majorHAnsi" w:cstheme="majorHAnsi"/>
          <w:bCs/>
          <w:sz w:val="24"/>
        </w:rPr>
        <w:fldChar w:fldCharType="end"/>
      </w:r>
      <w:r w:rsidR="00AD1B4D" w:rsidRPr="00877F28">
        <w:rPr>
          <w:rFonts w:asciiTheme="majorHAnsi" w:hAnsiTheme="majorHAnsi" w:cstheme="majorHAnsi"/>
          <w:bCs/>
          <w:sz w:val="24"/>
        </w:rPr>
        <w:t>.</w:t>
      </w:r>
      <w:r w:rsidR="00AD1B4D" w:rsidRPr="00877F28">
        <w:rPr>
          <w:rFonts w:asciiTheme="majorHAnsi" w:hAnsiTheme="majorHAnsi" w:cstheme="majorHAnsi"/>
          <w:sz w:val="24"/>
        </w:rPr>
        <w:t xml:space="preserve"> By appealing to logic, emotion, and identity, slogans maintain their persuasive force while embedding ideological values into everyday discourse. Thus, examining the interpersonal features of slogans provides valuable insights into how ideology is linguistically constructed and disseminated.</w:t>
      </w:r>
    </w:p>
    <w:p w:rsidR="00AD1B4D" w:rsidRPr="00877F28" w:rsidRDefault="00AD1B4D" w:rsidP="00665334">
      <w:pPr>
        <w:suppressAutoHyphens w:val="0"/>
        <w:spacing w:line="240" w:lineRule="auto"/>
        <w:ind w:leftChars="0" w:firstLineChars="0" w:hanging="2"/>
        <w:jc w:val="both"/>
        <w:textDirection w:val="lrTb"/>
        <w:textAlignment w:val="auto"/>
        <w:outlineLvl w:val="9"/>
        <w:rPr>
          <w:rFonts w:asciiTheme="majorHAnsi" w:hAnsiTheme="majorHAnsi" w:cstheme="majorHAnsi"/>
          <w:bCs/>
          <w:sz w:val="24"/>
          <w:szCs w:val="24"/>
        </w:rPr>
      </w:pPr>
      <w:r w:rsidRPr="00877F28">
        <w:rPr>
          <w:rFonts w:asciiTheme="majorHAnsi" w:hAnsiTheme="majorHAnsi" w:cstheme="majorHAnsi"/>
          <w:sz w:val="24"/>
        </w:rPr>
        <w:t xml:space="preserve">The significance of interpersonal strategies becomes more apparent when considering how public discourse operates to persuade, unify, and mobilize audiences. For example, declarative statements often function as shared truths, imperatives act as calls to action, and modality frames the degree of certainty or obligation within the message. These subtle choices guide how texts are received and interpreted by audiences, ensuring that slogans resonate across diverse groups. As a result, the analysis of mood and modality provides a window into the ways in which concise texts like slogans achieve social influence and rhetorical effectiveness. </w:t>
      </w:r>
      <w:r w:rsidRPr="00877F28">
        <w:rPr>
          <w:rFonts w:asciiTheme="majorHAnsi" w:hAnsiTheme="majorHAnsi" w:cstheme="majorHAnsi"/>
          <w:bCs/>
          <w:sz w:val="24"/>
        </w:rPr>
        <w:t>In this regard, Systemic Functional Linguistics (SFL) offers a useful framework for analyzing how language constructs meaning in social contexts. Closely related, discourse analysis provides both a theoretical orientation and a set of methods to examine how language in context contributes to the construction, maintenance, or contestation of social and political orders</w:t>
      </w:r>
      <w:r w:rsidR="00877F28" w:rsidRPr="00877F28">
        <w:rPr>
          <w:rFonts w:asciiTheme="majorHAnsi" w:hAnsiTheme="majorHAnsi" w:cstheme="majorHAnsi"/>
          <w:bCs/>
          <w:sz w:val="24"/>
        </w:rPr>
        <w:t xml:space="preserve"> </w:t>
      </w:r>
      <w:r w:rsidR="00877F28" w:rsidRPr="00877F28">
        <w:rPr>
          <w:rFonts w:asciiTheme="majorHAnsi" w:hAnsiTheme="majorHAnsi" w:cstheme="majorHAnsi"/>
          <w:bCs/>
          <w:sz w:val="24"/>
        </w:rPr>
        <w:fldChar w:fldCharType="begin" w:fldLock="1"/>
      </w:r>
      <w:r w:rsidR="00877F28">
        <w:rPr>
          <w:rFonts w:asciiTheme="majorHAnsi" w:hAnsiTheme="majorHAnsi" w:cstheme="majorHAnsi"/>
          <w:bCs/>
          <w:sz w:val="24"/>
        </w:rPr>
        <w:instrText>ADDIN CSL_CITATION {"citationItems":[{"id":"ITEM-1","itemData":{"DOI":"10.1177/10778004231184421","ISSN":"15527565","abstract":"The growing interest in combining different approaches to qualitative text and discourse analysis has so far not been met with adapted methodological resources. This article aims to address this gap by developing a methodological framework for combining qualitative text and discourse analysis. First, we introduce four traditions that we identify as four families of methods of text/discourse analysis with different logics: Discourse Analysis, Foucauldian Discourse Analysis, Thematic Analysis, and Qualitative Content Analysis. Second, we review the literature to show how these methods have been combined across disciplines and case studies. Third, we build upon existing literature to unpack the benefits and challenges of multi-method text/discourse analysis, and offer strategies to help navigate the problems that may arise. Overall, this article introduces multi-method qualitative text and discourse analysis (MMQTDA) as a methodological framework to provide guidance and offer solid foundations for an emerging methodological conversation in qualitative text research.","author":[{"dropping-particle":"","family":"Alejandro","given":"Audrey","non-dropping-particle":"","parse-names":false,"suffix":""},{"dropping-particle":"","family":"Zhao","given":"Longxuan","non-dropping-particle":"","parse-names":false,"suffix":""}],"container-title":"Qualitative Inquiry","id":"ITEM-1","issue":"6","issued":{"date-parts":[["2024"]]},"page":"461-473","title":"Multi-Method Qualitative Text and Discourse Analysis: A Methodological Framework","type":"article-journal","volume":"30"},"uris":["http://www.mendeley.com/documents/?uuid=460920c7-3e43-44f7-badd-36af235f1adb"]}],"mendeley":{"formattedCitation":"(Alejandro &amp; Zhao, 2024)","plainTextFormattedCitation":"(Alejandro &amp; Zhao, 2024)","previouslyFormattedCitation":"(Alejandro &amp; Zhao, 2024)"},"properties":{"noteIndex":0},"schema":"https://github.com/citation-style-language/schema/raw/master/csl-citation.json"}</w:instrText>
      </w:r>
      <w:r w:rsidR="00877F28" w:rsidRPr="00877F28">
        <w:rPr>
          <w:rFonts w:asciiTheme="majorHAnsi" w:hAnsiTheme="majorHAnsi" w:cstheme="majorHAnsi"/>
          <w:bCs/>
          <w:sz w:val="24"/>
        </w:rPr>
        <w:fldChar w:fldCharType="separate"/>
      </w:r>
      <w:r w:rsidR="00877F28" w:rsidRPr="00877F28">
        <w:rPr>
          <w:rFonts w:asciiTheme="majorHAnsi" w:hAnsiTheme="majorHAnsi" w:cstheme="majorHAnsi"/>
          <w:bCs/>
          <w:noProof/>
          <w:sz w:val="24"/>
        </w:rPr>
        <w:t>(Alejandro &amp; Zhao, 2024)</w:t>
      </w:r>
      <w:r w:rsidR="00877F28" w:rsidRPr="00877F28">
        <w:rPr>
          <w:rFonts w:asciiTheme="majorHAnsi" w:hAnsiTheme="majorHAnsi" w:cstheme="majorHAnsi"/>
          <w:bCs/>
          <w:sz w:val="24"/>
        </w:rPr>
        <w:fldChar w:fldCharType="end"/>
      </w:r>
      <w:r w:rsidRPr="00877F28">
        <w:rPr>
          <w:rFonts w:asciiTheme="majorHAnsi" w:hAnsiTheme="majorHAnsi" w:cstheme="majorHAnsi"/>
          <w:bCs/>
          <w:sz w:val="24"/>
        </w:rPr>
        <w:t>.</w:t>
      </w:r>
      <w:r w:rsidRPr="00877F28">
        <w:rPr>
          <w:rFonts w:asciiTheme="majorHAnsi" w:hAnsiTheme="majorHAnsi" w:cstheme="majorHAnsi"/>
          <w:sz w:val="24"/>
        </w:rPr>
        <w:t xml:space="preserve"> By integrating approaches such as corpus linguistics and critical discourse analysis, SFL enables systematic exploration of discourse practices, including how slogans and media texts shape identity, authority, and ideology.</w:t>
      </w:r>
      <w:r w:rsidR="00877F28">
        <w:rPr>
          <w:rFonts w:asciiTheme="majorHAnsi" w:hAnsiTheme="majorHAnsi" w:cstheme="majorHAnsi"/>
          <w:sz w:val="24"/>
        </w:rPr>
        <w:t xml:space="preserve"> </w:t>
      </w:r>
      <w:r w:rsidR="00877F28" w:rsidRPr="00877F28">
        <w:rPr>
          <w:rFonts w:asciiTheme="majorHAnsi" w:hAnsiTheme="majorHAnsi" w:cstheme="majorHAnsi"/>
          <w:sz w:val="24"/>
          <w:szCs w:val="24"/>
        </w:rPr>
        <w:t>This is particularly visible in the way media discourse persuades audiences to adopt certain values or beliefs, often framing them as not only desirable but essential, thereby reinforcing the idea that alignment with these messages is a form of self-affirmation and collective belonging</w:t>
      </w:r>
      <w:r w:rsidR="00877F28">
        <w:rPr>
          <w:rFonts w:asciiTheme="majorHAnsi" w:hAnsiTheme="majorHAnsi" w:cstheme="majorHAnsi"/>
          <w:sz w:val="24"/>
          <w:szCs w:val="24"/>
        </w:rPr>
        <w:t xml:space="preserve"> </w:t>
      </w:r>
      <w:r w:rsidR="00877F28">
        <w:rPr>
          <w:rFonts w:asciiTheme="majorHAnsi" w:hAnsiTheme="majorHAnsi" w:cstheme="majorHAnsi"/>
          <w:sz w:val="24"/>
          <w:szCs w:val="24"/>
        </w:rPr>
        <w:fldChar w:fldCharType="begin" w:fldLock="1"/>
      </w:r>
      <w:r w:rsidR="004531FE">
        <w:rPr>
          <w:rFonts w:asciiTheme="majorHAnsi" w:hAnsiTheme="majorHAnsi" w:cstheme="majorHAnsi"/>
          <w:sz w:val="24"/>
          <w:szCs w:val="24"/>
        </w:rPr>
        <w:instrText>ADDIN CSL_CITATION {"citationItems":[{"id":"ITEM-1","itemData":{"DOI":"10.30743/ll.v9i1.11104","ISSN":"2580-8672","abstract":"Garnier is one of the most famous international beauty products among women in Indonesia. Founded in France, Garnier is specialized in beauty products such as hair care, skincare, and hair color products. Among all the skincare products, Garnier Light Complete Serum Cream is one of the top sales in Indonesia. This paper is intended to analyze beauty product advertisements from Critical Discourse Analysis (CDA) perspective. This study applied qualitative research by using purposive sampling. Garnier’s advertisement does not only convince customers to buy their products but also plant their standard of beauty on women. The advertisement also standardizes the real beauty. The primary data were taken from the advertisement of Garnier Light Complete Serum Cream of Chelsea Islan Edition. This analysis is based on Fairclough’s 3-dimensional model of discourse. Fairclough’s 3-dimensional model discourse focuses on the standardization of real beauty of women through Garnier advertisement. The results show that the advertisements standardize the real beauty of women by using several linguistic devices, semiotics, and strategies. At the end, the Garnier advertisement establishes their ideology of “real beauty” in society.","author":[{"dropping-particle":"","family":"Septiani","given":"Resty Maudina","non-dropping-particle":"","parse-names":false,"suffix":""}],"container-title":"Language Literacy: Journal of Linguistics, Literature, and Language Teaching","id":"ITEM-1","issue":"1","issued":{"date-parts":[["2025"]]},"page":"304-316","title":"Standardizing Beauty Through Advertising: a Critical Discourse Analysis of Garnier Light Complete Serum Cream – Chelsea Islan Edition","type":"article-journal","volume":"9"},"uris":["http://www.mendeley.com/documents/?uuid=183c9bc9-6003-4df1-a132-a92955ff0d4e"]}],"mendeley":{"formattedCitation":"(Septiani, 2025)","plainTextFormattedCitation":"(Septiani, 2025)","previouslyFormattedCitation":"(Septiani, 2025)"},"properties":{"noteIndex":0},"schema":"https://github.com/citation-style-language/schema/raw/master/csl-citation.json"}</w:instrText>
      </w:r>
      <w:r w:rsidR="00877F28">
        <w:rPr>
          <w:rFonts w:asciiTheme="majorHAnsi" w:hAnsiTheme="majorHAnsi" w:cstheme="majorHAnsi"/>
          <w:sz w:val="24"/>
          <w:szCs w:val="24"/>
        </w:rPr>
        <w:fldChar w:fldCharType="separate"/>
      </w:r>
      <w:r w:rsidR="00877F28" w:rsidRPr="00877F28">
        <w:rPr>
          <w:rFonts w:asciiTheme="majorHAnsi" w:hAnsiTheme="majorHAnsi" w:cstheme="majorHAnsi"/>
          <w:noProof/>
          <w:sz w:val="24"/>
          <w:szCs w:val="24"/>
        </w:rPr>
        <w:t>(Septiani, 2025)</w:t>
      </w:r>
      <w:r w:rsidR="00877F28">
        <w:rPr>
          <w:rFonts w:asciiTheme="majorHAnsi" w:hAnsiTheme="majorHAnsi" w:cstheme="majorHAnsi"/>
          <w:sz w:val="24"/>
          <w:szCs w:val="24"/>
        </w:rPr>
        <w:fldChar w:fldCharType="end"/>
      </w:r>
      <w:r w:rsidR="00877F28" w:rsidRPr="00877F28">
        <w:rPr>
          <w:rFonts w:asciiTheme="majorHAnsi" w:hAnsiTheme="majorHAnsi" w:cstheme="majorHAnsi"/>
          <w:sz w:val="24"/>
          <w:szCs w:val="24"/>
        </w:rPr>
        <w:t>.</w:t>
      </w:r>
    </w:p>
    <w:p w:rsidR="00665334" w:rsidRPr="00877F28" w:rsidRDefault="00665334" w:rsidP="00665334">
      <w:pPr>
        <w:suppressAutoHyphens w:val="0"/>
        <w:spacing w:line="240" w:lineRule="auto"/>
        <w:ind w:leftChars="0" w:firstLineChars="0" w:hanging="2"/>
        <w:jc w:val="both"/>
        <w:textDirection w:val="lrTb"/>
        <w:textAlignment w:val="auto"/>
        <w:outlineLvl w:val="9"/>
        <w:rPr>
          <w:rFonts w:asciiTheme="majorHAnsi" w:hAnsiTheme="majorHAnsi" w:cstheme="majorHAnsi"/>
          <w:position w:val="0"/>
          <w:sz w:val="24"/>
          <w:szCs w:val="24"/>
        </w:rPr>
      </w:pPr>
      <w:r w:rsidRPr="00877F28">
        <w:rPr>
          <w:rFonts w:asciiTheme="majorHAnsi" w:hAnsiTheme="majorHAnsi" w:cstheme="majorHAnsi"/>
          <w:position w:val="0"/>
          <w:sz w:val="24"/>
          <w:szCs w:val="24"/>
        </w:rPr>
        <w:t xml:space="preserve">Building on this understanding, Indonesian Independence Day slogans from 2015 to 2025 present an important case for study. Each year, these slogans encapsulate the government’s priorities while projecting national aspirations such as unity, productivity, resilience, and progress. They not only commemorate historical struggles but also serve to orient citizens toward future goals, including the long-term vision of 2045. Despite their visibility and symbolic role in shaping national identity, these texts remain underexplored from a linguistic perspective. Applying the interpersonal </w:t>
      </w:r>
      <w:proofErr w:type="spellStart"/>
      <w:r w:rsidRPr="00877F28">
        <w:rPr>
          <w:rFonts w:asciiTheme="majorHAnsi" w:hAnsiTheme="majorHAnsi" w:cstheme="majorHAnsi"/>
          <w:position w:val="0"/>
          <w:sz w:val="24"/>
          <w:szCs w:val="24"/>
        </w:rPr>
        <w:t>metafunction</w:t>
      </w:r>
      <w:proofErr w:type="spellEnd"/>
      <w:r w:rsidRPr="00877F28">
        <w:rPr>
          <w:rFonts w:asciiTheme="majorHAnsi" w:hAnsiTheme="majorHAnsi" w:cstheme="majorHAnsi"/>
          <w:position w:val="0"/>
          <w:sz w:val="24"/>
          <w:szCs w:val="24"/>
        </w:rPr>
        <w:t xml:space="preserve"> to these slogans therefore offers a timely contribution, illuminating how language enacts authority, solidarity, and ideology within a national context while reinforcing collective identity over time.</w:t>
      </w:r>
    </w:p>
    <w:p w:rsidR="00C12653" w:rsidRPr="00877F28" w:rsidRDefault="00C12653" w:rsidP="006E1E85">
      <w:pPr>
        <w:ind w:leftChars="0" w:left="0" w:firstLineChars="0" w:firstLine="0"/>
        <w:jc w:val="both"/>
        <w:rPr>
          <w:rFonts w:asciiTheme="majorHAnsi" w:eastAsia="Calibri" w:hAnsiTheme="majorHAnsi" w:cstheme="majorHAnsi"/>
          <w:sz w:val="24"/>
          <w:szCs w:val="24"/>
        </w:rPr>
      </w:pPr>
    </w:p>
    <w:p w:rsidR="006A7313" w:rsidRPr="004F09E2" w:rsidRDefault="000934A7" w:rsidP="006E1E85">
      <w:pPr>
        <w:pStyle w:val="references"/>
        <w:spacing w:after="0"/>
        <w:ind w:left="1" w:hanging="3"/>
        <w:rPr>
          <w:rFonts w:asciiTheme="majorHAnsi" w:eastAsia="Calibri" w:hAnsiTheme="majorHAnsi" w:cstheme="majorHAnsi"/>
          <w:b/>
          <w:sz w:val="28"/>
          <w:szCs w:val="28"/>
        </w:rPr>
      </w:pPr>
      <w:r w:rsidRPr="004F09E2">
        <w:rPr>
          <w:rFonts w:asciiTheme="majorHAnsi" w:eastAsia="Calibri" w:hAnsiTheme="majorHAnsi" w:cstheme="majorHAnsi"/>
          <w:b/>
          <w:sz w:val="28"/>
          <w:szCs w:val="28"/>
        </w:rPr>
        <w:t xml:space="preserve">Research Method </w:t>
      </w:r>
    </w:p>
    <w:p w:rsidR="00C12653" w:rsidRDefault="00D5603F" w:rsidP="006E1E85">
      <w:pPr>
        <w:pStyle w:val="NormalWeb"/>
        <w:spacing w:before="0" w:beforeAutospacing="0" w:after="0" w:afterAutospacing="0"/>
        <w:ind w:leftChars="0" w:left="0" w:firstLineChars="0" w:firstLine="0"/>
        <w:jc w:val="both"/>
        <w:rPr>
          <w:rFonts w:asciiTheme="majorHAnsi" w:hAnsiTheme="majorHAnsi" w:cstheme="majorHAnsi"/>
          <w:position w:val="0"/>
        </w:rPr>
      </w:pPr>
      <w:r w:rsidRPr="00877F28">
        <w:rPr>
          <w:rFonts w:asciiTheme="majorHAnsi" w:hAnsiTheme="majorHAnsi" w:cstheme="majorHAnsi"/>
          <w:position w:val="0"/>
        </w:rPr>
        <w:t xml:space="preserve">This study employed a descriptive qualitative research design to investigate the interpersonal </w:t>
      </w:r>
      <w:proofErr w:type="spellStart"/>
      <w:r w:rsidRPr="00877F28">
        <w:rPr>
          <w:rFonts w:asciiTheme="majorHAnsi" w:hAnsiTheme="majorHAnsi" w:cstheme="majorHAnsi"/>
          <w:position w:val="0"/>
        </w:rPr>
        <w:t>metafunction</w:t>
      </w:r>
      <w:proofErr w:type="spellEnd"/>
      <w:r w:rsidRPr="00877F28">
        <w:rPr>
          <w:rFonts w:asciiTheme="majorHAnsi" w:hAnsiTheme="majorHAnsi" w:cstheme="majorHAnsi"/>
          <w:position w:val="0"/>
        </w:rPr>
        <w:t xml:space="preserve"> in Indonesian Independence Day slogans from 2015 to 2025. The descriptive qualitative approach was selected because it aims to provide a comprehensive and accurate description of a phenomenon without manipulating variables, focusing instead on rich, contextual anal</w:t>
      </w:r>
      <w:r w:rsidR="00B36C8D" w:rsidRPr="00877F28">
        <w:rPr>
          <w:rFonts w:asciiTheme="majorHAnsi" w:hAnsiTheme="majorHAnsi" w:cstheme="majorHAnsi"/>
          <w:position w:val="0"/>
        </w:rPr>
        <w:t>ysis of naturally occurring data</w:t>
      </w:r>
      <w:r w:rsidRPr="00877F28">
        <w:rPr>
          <w:rFonts w:asciiTheme="majorHAnsi" w:hAnsiTheme="majorHAnsi" w:cstheme="majorHAnsi"/>
          <w:position w:val="0"/>
        </w:rPr>
        <w:t>.</w:t>
      </w:r>
      <w:r w:rsidR="003E1121">
        <w:rPr>
          <w:rFonts w:asciiTheme="majorHAnsi" w:hAnsiTheme="majorHAnsi" w:cstheme="majorHAnsi"/>
          <w:position w:val="0"/>
        </w:rPr>
        <w:t xml:space="preserve"> </w:t>
      </w:r>
      <w:r w:rsidR="003E1121" w:rsidRPr="003E1121">
        <w:rPr>
          <w:rFonts w:asciiTheme="majorHAnsi" w:hAnsiTheme="majorHAnsi" w:cstheme="majorHAnsi"/>
        </w:rPr>
        <w:t>This study adopted a qualitative approach, focusing on understanding meaning in context, including entire ways of life, belief systems, and holistic experiences rather than isolated elements</w:t>
      </w:r>
      <w:r w:rsidR="003E1121">
        <w:rPr>
          <w:rFonts w:asciiTheme="majorHAnsi" w:hAnsiTheme="majorHAnsi" w:cstheme="majorHAnsi"/>
        </w:rPr>
        <w:t xml:space="preserve"> </w:t>
      </w:r>
      <w:r w:rsidR="003E1121">
        <w:rPr>
          <w:rFonts w:asciiTheme="majorHAnsi" w:hAnsiTheme="majorHAnsi" w:cstheme="majorHAnsi"/>
        </w:rPr>
        <w:fldChar w:fldCharType="begin" w:fldLock="1"/>
      </w:r>
      <w:r w:rsidR="003E1121">
        <w:rPr>
          <w:rFonts w:asciiTheme="majorHAnsi" w:hAnsiTheme="majorHAnsi" w:cstheme="majorHAnsi"/>
        </w:rPr>
        <w:instrText>ADDIN CSL_CITATION {"citationItems":[{"id":"ITEM-1","itemData":{"DOI":"10.30743/ll.v9i1.10746","ISSN":"2580-8672","abstract":"This study examines the characterization of the film Enola Holmes (2020), focusing on the emotional, intellectual, and moral aspects of the characters as revealed through dialogue. By employing qualitative analysis, the research explores how character’s self-reliance, resilience, and rejection of social norms through dialogue. Using M.H. Abram’s theory of characterization and Schachter-Singer’s two-factor theory of emotion, the study provides a deeper understanding of how emotions, cognitive processes, and physiological reactions are intertwined in shaping the characters’ traits. While previous studies focused more on gender representation in films, this study fills the void by highlighting the role of dialog in shaping character identity. This study has found that dialog not only functions as an expositional tool, but also as a primary means to convey thematic depth and character complexity. This study contributes to the discourse of film analysis by showing how dialog serves as a narrative device that engages the audience and reinforces the portrayal of characters as multidimensional.","author":[{"dropping-particle":"","family":"Aistyana","given":"Tyas Putri","non-dropping-particle":"","parse-names":false,"suffix":""},{"dropping-particle":"","family":"Prastiwi","given":"Yeny","non-dropping-particle":"","parse-names":false,"suffix":""}],"container-title":"Language Literacy: Journal of Linguistics, Literature, and Language Teaching","id":"ITEM-1","issue":"1","issued":{"date-parts":[["2025"]]},"page":"74-82","title":"Character Analysis Through Dialogue in Enola Holmes (2020): a Study Using M.H Abram’S Theory","type":"article-journal","volume":"9"},"uris":["http://www.mendeley.com/documents/?uuid=d3630881-b7e0-4a7f-b98c-663c355ca7e2"]}],"mendeley":{"formattedCitation":"(Aistyana &amp; Prastiwi, 2025)","plainTextFormattedCitation":"(Aistyana &amp; Prastiwi, 2025)"},"properties":{"noteIndex":0},"schema":"https://github.com/citation-style-language/schema/raw/master/csl-citation.json"}</w:instrText>
      </w:r>
      <w:r w:rsidR="003E1121">
        <w:rPr>
          <w:rFonts w:asciiTheme="majorHAnsi" w:hAnsiTheme="majorHAnsi" w:cstheme="majorHAnsi"/>
        </w:rPr>
        <w:fldChar w:fldCharType="separate"/>
      </w:r>
      <w:r w:rsidR="003E1121" w:rsidRPr="003E1121">
        <w:rPr>
          <w:rFonts w:asciiTheme="majorHAnsi" w:hAnsiTheme="majorHAnsi" w:cstheme="majorHAnsi"/>
          <w:noProof/>
        </w:rPr>
        <w:t>(Aistyana &amp; Prastiwi, 2025)</w:t>
      </w:r>
      <w:r w:rsidR="003E1121">
        <w:rPr>
          <w:rFonts w:asciiTheme="majorHAnsi" w:hAnsiTheme="majorHAnsi" w:cstheme="majorHAnsi"/>
        </w:rPr>
        <w:fldChar w:fldCharType="end"/>
      </w:r>
      <w:r w:rsidR="003E1121" w:rsidRPr="003E1121">
        <w:rPr>
          <w:rFonts w:asciiTheme="majorHAnsi" w:hAnsiTheme="majorHAnsi" w:cstheme="majorHAnsi"/>
        </w:rPr>
        <w:t>.</w:t>
      </w:r>
      <w:r w:rsidRPr="00877F28">
        <w:rPr>
          <w:rFonts w:asciiTheme="majorHAnsi" w:hAnsiTheme="majorHAnsi" w:cstheme="majorHAnsi"/>
          <w:position w:val="0"/>
        </w:rPr>
        <w:t xml:space="preserve"> </w:t>
      </w:r>
      <w:r w:rsidRPr="00877F28">
        <w:rPr>
          <w:rFonts w:asciiTheme="majorHAnsi" w:hAnsiTheme="majorHAnsi" w:cstheme="majorHAnsi"/>
          <w:bCs/>
          <w:position w:val="0"/>
        </w:rPr>
        <w:t xml:space="preserve">Although </w:t>
      </w:r>
      <w:r w:rsidRPr="00877F28">
        <w:rPr>
          <w:rFonts w:asciiTheme="majorHAnsi" w:hAnsiTheme="majorHAnsi" w:cstheme="majorHAnsi"/>
          <w:bCs/>
          <w:position w:val="0"/>
        </w:rPr>
        <w:lastRenderedPageBreak/>
        <w:t>sometimes seen as less complex, descriptive qualitative research is useful for giving clear and direct descriptions of a phenomenon. It keeps researchers close to their data with systematic but flexible techniques. Some scholars doubt its status as a distinct design, which often leads beginners to label their work as phenomenology, grounded theory, or ethnography. However, many accept it as a valid method, as it avoids highly abstract interpretations and stays closer to the data. This makes it suitable for studies aiming to describe events or experiences in straightforward terms</w:t>
      </w:r>
      <w:r w:rsidR="00B36C8D" w:rsidRPr="00877F28">
        <w:rPr>
          <w:rFonts w:asciiTheme="majorHAnsi" w:hAnsiTheme="majorHAnsi" w:cstheme="majorHAnsi"/>
          <w:bCs/>
          <w:position w:val="0"/>
        </w:rPr>
        <w:fldChar w:fldCharType="begin" w:fldLock="1"/>
      </w:r>
      <w:r w:rsidR="00B36C8D" w:rsidRPr="00877F28">
        <w:rPr>
          <w:rFonts w:asciiTheme="majorHAnsi" w:hAnsiTheme="majorHAnsi" w:cstheme="majorHAnsi"/>
          <w:bCs/>
          <w:position w:val="0"/>
        </w:rPr>
        <w:instrText>ADDIN CSL_CITATION {"citationItems":[{"id":"ITEM-1","itemData":{"ISBN":"1052-0147","ISSN":"0160-6891","PMID":"9","abstract":"Let’s talk about your research design. Two words – Research Onion – your route map to designing your research process. Your research consists of different layers, just like onions do, that you need to pay attention to. In the following posts we will be discussing these layers until we get to the core of your research.","author":[{"dropping-particle":"","family":"Sandelowski","given":"Margarete","non-dropping-particle":"","parse-names":false,"suffix":""}],"container-title":"Research in Nursing &amp; Health","id":"ITEM-1","issue":"23","issued":{"date-parts":[["2000"]]},"page":"334-340","title":"Whatever Happened to Qualitative Description?","type":"article-journal"},"uris":["http://www.mendeley.com/documents/?uuid=c807ac1e-d946-4508-86c4-6aeda95e2bba"]},{"id":"ITEM-2","itemData":{"author":[{"dropping-particle":"","family":"Lambert","given":"Vickie A.","non-dropping-particle":"","parse-names":false,"suffix":""}],"container-title":"Pacific Rim Int J Nurs Res","id":"ITEM-2","issue":"4","issued":{"date-parts":[["2012"]]},"page":"255-256","title":"Editorial : Qualitative Descriptive Research : An Acceptable Design","type":"article-journal"},"uris":["http://www.mendeley.com/documents/?uuid=dc5d286c-b670-4213-812c-4077c197f970"]}],"mendeley":{"formattedCitation":"(Lambert, 2012; Sandelowski, 2000)","plainTextFormattedCitation":"(Lambert, 2012; Sandelowski, 2000)","previouslyFormattedCitation":"(Lambert, 2012; Sandelowski, 2000)"},"properties":{"noteIndex":0},"schema":"https://github.com/citation-style-language/schema/raw/master/csl-citation.json"}</w:instrText>
      </w:r>
      <w:r w:rsidR="00B36C8D" w:rsidRPr="00877F28">
        <w:rPr>
          <w:rFonts w:asciiTheme="majorHAnsi" w:hAnsiTheme="majorHAnsi" w:cstheme="majorHAnsi"/>
          <w:bCs/>
          <w:position w:val="0"/>
        </w:rPr>
        <w:fldChar w:fldCharType="separate"/>
      </w:r>
      <w:r w:rsidR="00B36C8D" w:rsidRPr="00877F28">
        <w:rPr>
          <w:rFonts w:asciiTheme="majorHAnsi" w:hAnsiTheme="majorHAnsi" w:cstheme="majorHAnsi"/>
          <w:bCs/>
          <w:noProof/>
          <w:position w:val="0"/>
        </w:rPr>
        <w:t>(Lambert, 2012; Sandelowski, 2000)</w:t>
      </w:r>
      <w:r w:rsidR="00B36C8D" w:rsidRPr="00877F28">
        <w:rPr>
          <w:rFonts w:asciiTheme="majorHAnsi" w:hAnsiTheme="majorHAnsi" w:cstheme="majorHAnsi"/>
          <w:bCs/>
          <w:position w:val="0"/>
        </w:rPr>
        <w:fldChar w:fldCharType="end"/>
      </w:r>
      <w:r w:rsidRPr="00877F28">
        <w:rPr>
          <w:rFonts w:asciiTheme="majorHAnsi" w:hAnsiTheme="majorHAnsi" w:cstheme="majorHAnsi"/>
          <w:bCs/>
          <w:position w:val="0"/>
        </w:rPr>
        <w:t>.</w:t>
      </w:r>
      <w:r w:rsidRPr="00877F28">
        <w:rPr>
          <w:rFonts w:asciiTheme="majorHAnsi" w:hAnsiTheme="majorHAnsi" w:cstheme="majorHAnsi"/>
          <w:position w:val="0"/>
        </w:rPr>
        <w:t xml:space="preserve"> </w:t>
      </w:r>
      <w:r w:rsidR="00876664" w:rsidRPr="00876664">
        <w:rPr>
          <w:rFonts w:asciiTheme="majorHAnsi" w:hAnsiTheme="majorHAnsi" w:cstheme="majorHAnsi"/>
          <w:bCs/>
          <w:szCs w:val="20"/>
        </w:rPr>
        <w:t>Although the findings are specific to the data examined, they still contribute meaningful insights into how language functions within particular social and cultural contexts, especially in understanding the evolving nature of public discourse</w:t>
      </w:r>
      <w:r w:rsidR="00876664">
        <w:rPr>
          <w:rFonts w:asciiTheme="majorHAnsi" w:hAnsiTheme="majorHAnsi" w:cstheme="majorHAnsi"/>
          <w:bCs/>
          <w:szCs w:val="20"/>
        </w:rPr>
        <w:t xml:space="preserve"> </w:t>
      </w:r>
      <w:r w:rsidR="00876664">
        <w:rPr>
          <w:rFonts w:asciiTheme="majorHAnsi" w:hAnsiTheme="majorHAnsi" w:cstheme="majorHAnsi"/>
          <w:bCs/>
          <w:szCs w:val="20"/>
        </w:rPr>
        <w:fldChar w:fldCharType="begin" w:fldLock="1"/>
      </w:r>
      <w:r w:rsidR="00876664">
        <w:rPr>
          <w:rFonts w:asciiTheme="majorHAnsi" w:hAnsiTheme="majorHAnsi" w:cstheme="majorHAnsi"/>
          <w:bCs/>
          <w:szCs w:val="20"/>
        </w:rPr>
        <w:instrText>ADDIN CSL_CITATION {"citationItems":[{"id":"ITEM-1","itemData":{"DOI":"10.30743/ll.v9i1.11027","ISSN":"2580-8672","abstract":"Effective classroom interaction significantly contributes to successful English language learning among young learners. Despite extensive research on classroom interactions, the impact of Generation Z (Gen Z) teachers’ distinct communication traits remains underexplored, particularly within the Indonesian context. Drawing from social constructivism and digital pedagogy frameworks, this study addresses this gap by focusing on verbal interactions in an EYL setting in Indonesia. The research aims to explore how a Gen Z teacher’s communication style influences classroom interaction patterns and what pedagogical implications arise for student engagement, autonomy, and emotional development. A qualitative case study design was employed, involving one Gen Z teacher and 28 third-grade students at a private primary school in Indonesia. Data were collected over three 55-minute sessions using video recordings and coded through Flanders’ Interaction Analysis Categories System (FIACS). Reliability procedures and ethical consent were ensured prior to data collection. Findings show that direct talk such as asking questions (56.8%) and giving directions (41.5%), is more prevalent in Gen Z teacher interactions than indirect talk, like using student ideas (14%) and offering praise (15.11%). The emphasis on directive and questioning approaches limited the potential for fostering student autonomy and collaborative dialogue. Student responses were frequent (66.3%), indicating active engagement, yet minimal student-initiated talk suggests limited learner autonomy. The study suggests a need for professional development that encourages Gen Z teachers to balance directive communication with emotional support and digital integration. Enhancing these communicative strategies could improve student engagement, autonomy, and collaborative learning in EYL settings.","author":[{"dropping-particle":"","family":"Kurniawati","given":"Arienta Eka","non-dropping-particle":"","parse-names":false,"suffix":""},{"dropping-particle":"","family":"Hamamah","given":"Hamamah","non-dropping-particle":"","parse-names":false,"suffix":""},{"dropping-particle":"","family":"Muttaqin","given":"Syariful","non-dropping-particle":"","parse-names":false,"suffix":""}],"container-title":"Language Literacy: Journal of Linguistics, Literature, and Language Teaching","id":"ITEM-1","issue":"1","issued":{"date-parts":[["2025"]]},"page":"204-215","title":"Exploring Teacher–Student Talk in English for Young Learners (EYL) Led by a Gen Z Teacher: A FIACS-Based Case Study in Indonesia","type":"article-journal","volume":"9"},"uris":["http://www.mendeley.com/documents/?uuid=c33d8457-4827-404d-b9e7-2889241b206d"]}],"mendeley":{"formattedCitation":"(Kurniawati et al., 2025)","plainTextFormattedCitation":"(Kurniawati et al., 2025)","previouslyFormattedCitation":"(Kurniawati et al., 2025)"},"properties":{"noteIndex":0},"schema":"https://github.com/citation-style-language/schema/raw/master/csl-citation.json"}</w:instrText>
      </w:r>
      <w:r w:rsidR="00876664">
        <w:rPr>
          <w:rFonts w:asciiTheme="majorHAnsi" w:hAnsiTheme="majorHAnsi" w:cstheme="majorHAnsi"/>
          <w:bCs/>
          <w:szCs w:val="20"/>
        </w:rPr>
        <w:fldChar w:fldCharType="separate"/>
      </w:r>
      <w:r w:rsidR="00876664" w:rsidRPr="00876664">
        <w:rPr>
          <w:rFonts w:asciiTheme="majorHAnsi" w:hAnsiTheme="majorHAnsi" w:cstheme="majorHAnsi"/>
          <w:bCs/>
          <w:noProof/>
          <w:szCs w:val="20"/>
        </w:rPr>
        <w:t>(Kurniawati et al., 2025)</w:t>
      </w:r>
      <w:r w:rsidR="00876664">
        <w:rPr>
          <w:rFonts w:asciiTheme="majorHAnsi" w:hAnsiTheme="majorHAnsi" w:cstheme="majorHAnsi"/>
          <w:bCs/>
          <w:szCs w:val="20"/>
        </w:rPr>
        <w:fldChar w:fldCharType="end"/>
      </w:r>
      <w:r w:rsidR="00876664" w:rsidRPr="00876664">
        <w:rPr>
          <w:rFonts w:asciiTheme="majorHAnsi" w:hAnsiTheme="majorHAnsi" w:cstheme="majorHAnsi"/>
          <w:bCs/>
          <w:szCs w:val="20"/>
        </w:rPr>
        <w:t>.</w:t>
      </w:r>
      <w:r w:rsidR="00876664" w:rsidRPr="00876664">
        <w:rPr>
          <w:szCs w:val="20"/>
        </w:rPr>
        <w:t xml:space="preserve"> </w:t>
      </w:r>
      <w:r w:rsidRPr="00877F28">
        <w:rPr>
          <w:rFonts w:asciiTheme="majorHAnsi" w:hAnsiTheme="majorHAnsi" w:cstheme="majorHAnsi"/>
          <w:position w:val="0"/>
        </w:rPr>
        <w:t>The data consisted of eleven official Independence Day slogans, which were collected from government sources covering the 70</w:t>
      </w:r>
      <w:r w:rsidRPr="003E1121">
        <w:rPr>
          <w:rFonts w:asciiTheme="majorHAnsi" w:hAnsiTheme="majorHAnsi" w:cstheme="majorHAnsi"/>
          <w:position w:val="0"/>
          <w:vertAlign w:val="superscript"/>
        </w:rPr>
        <w:t>th</w:t>
      </w:r>
      <w:r w:rsidRPr="00877F28">
        <w:rPr>
          <w:rFonts w:asciiTheme="majorHAnsi" w:hAnsiTheme="majorHAnsi" w:cstheme="majorHAnsi"/>
          <w:position w:val="0"/>
        </w:rPr>
        <w:t xml:space="preserve"> to the 80</w:t>
      </w:r>
      <w:r w:rsidRPr="003E1121">
        <w:rPr>
          <w:rFonts w:asciiTheme="majorHAnsi" w:hAnsiTheme="majorHAnsi" w:cstheme="majorHAnsi"/>
          <w:position w:val="0"/>
          <w:vertAlign w:val="superscript"/>
        </w:rPr>
        <w:t>th</w:t>
      </w:r>
      <w:r w:rsidRPr="00877F28">
        <w:rPr>
          <w:rFonts w:asciiTheme="majorHAnsi" w:hAnsiTheme="majorHAnsi" w:cstheme="majorHAnsi"/>
          <w:position w:val="0"/>
        </w:rPr>
        <w:t xml:space="preserve"> anniversary. The analytical procedure followed three steps: (1) compiling and classifying the slogans based on interpersonal features such as mood, modality, pronoun use, and evaluative lexis; (2) conducting a detailed analysis </w:t>
      </w:r>
      <w:r w:rsidR="00B36C8D" w:rsidRPr="00877F28">
        <w:rPr>
          <w:rFonts w:asciiTheme="majorHAnsi" w:hAnsiTheme="majorHAnsi" w:cstheme="majorHAnsi"/>
          <w:position w:val="0"/>
        </w:rPr>
        <w:t>using Halliday’s</w:t>
      </w:r>
      <w:r w:rsidR="00B36C8D" w:rsidRPr="00877F28">
        <w:rPr>
          <w:rFonts w:asciiTheme="majorHAnsi" w:hAnsiTheme="majorHAnsi" w:cstheme="majorHAnsi"/>
          <w:position w:val="0"/>
        </w:rPr>
        <w:fldChar w:fldCharType="begin" w:fldLock="1"/>
      </w:r>
      <w:r w:rsidR="00B36C8D" w:rsidRPr="00877F28">
        <w:rPr>
          <w:rFonts w:asciiTheme="majorHAnsi" w:hAnsiTheme="majorHAnsi" w:cstheme="majorHAnsi"/>
          <w:position w:val="0"/>
        </w:rPr>
        <w:instrText>ADDIN CSL_CITATION {"citationItems":[{"id":"ITEM-1","itemData":{"ISBN":"9780415826280","abstract":"We deduce a system of basic equations, describe a computational procedure for the determination of the thermal stressed state of a long hollow cylinder whose surfaces are subjected to the action of radio-wave pulses in the quasistationary mode, and propose a method for the solution of the corresponding boundary-value problems of electrodynamics, heat conduction, and thermoelasticity by using polynomial approximations of the required functions with respect to the radial coordinate. We also present the results of the numerical analysis of variations of the Joule heat release, ponderomotive force, temperature, and stresses as functions of time under the action of radio-wave pulses whose frequencies lie either in the neighborhood of the resonance frequencies of the cylinder or outside this neighborhood.","author":[{"dropping-particle":"","family":"Halliday","given":"M.A.K. &amp; Matthiessen","non-dropping-particle":"","parse-names":false,"suffix":""},{"dropping-particle":"","family":"M.I.M","given":"","non-dropping-particle":"","parse-names":false,"suffix":""}],"id":"ITEM-1","issued":{"date-parts":[["2014"]]},"number-of-pages":"808","publisher":"Routledge","title":"Introduction to Functional Grammar Revised by Christian M.I.M Matthiessen","type":"book"},"uris":["http://www.mendeley.com/documents/?uuid=f651d2d9-bdf0-486e-b855-a358125175f0"]}],"mendeley":{"formattedCitation":"(Halliday &amp; M.I.M, 2014)","plainTextFormattedCitation":"(Halliday &amp; M.I.M, 2014)","previouslyFormattedCitation":"(Halliday &amp; M.I.M, 2014)"},"properties":{"noteIndex":0},"schema":"https://github.com/citation-style-language/schema/raw/master/csl-citation.json"}</w:instrText>
      </w:r>
      <w:r w:rsidR="00B36C8D" w:rsidRPr="00877F28">
        <w:rPr>
          <w:rFonts w:asciiTheme="majorHAnsi" w:hAnsiTheme="majorHAnsi" w:cstheme="majorHAnsi"/>
          <w:position w:val="0"/>
        </w:rPr>
        <w:fldChar w:fldCharType="separate"/>
      </w:r>
      <w:r w:rsidR="00B36C8D" w:rsidRPr="00877F28">
        <w:rPr>
          <w:rFonts w:asciiTheme="majorHAnsi" w:hAnsiTheme="majorHAnsi" w:cstheme="majorHAnsi"/>
          <w:noProof/>
          <w:position w:val="0"/>
        </w:rPr>
        <w:t>(Halliday &amp; M.I.M, 2014)</w:t>
      </w:r>
      <w:r w:rsidR="00B36C8D" w:rsidRPr="00877F28">
        <w:rPr>
          <w:rFonts w:asciiTheme="majorHAnsi" w:hAnsiTheme="majorHAnsi" w:cstheme="majorHAnsi"/>
          <w:position w:val="0"/>
        </w:rPr>
        <w:fldChar w:fldCharType="end"/>
      </w:r>
      <w:r w:rsidR="00B36C8D" w:rsidRPr="00877F28">
        <w:rPr>
          <w:rFonts w:asciiTheme="majorHAnsi" w:hAnsiTheme="majorHAnsi" w:cstheme="majorHAnsi"/>
          <w:position w:val="0"/>
        </w:rPr>
        <w:t xml:space="preserve"> </w:t>
      </w:r>
      <w:r w:rsidRPr="00877F28">
        <w:rPr>
          <w:rFonts w:asciiTheme="majorHAnsi" w:hAnsiTheme="majorHAnsi" w:cstheme="majorHAnsi"/>
          <w:position w:val="0"/>
        </w:rPr>
        <w:t xml:space="preserve">framework of Systemic Functional Linguistics (SFL) with emphasis on the interpersonal </w:t>
      </w:r>
      <w:proofErr w:type="spellStart"/>
      <w:r w:rsidRPr="00877F28">
        <w:rPr>
          <w:rFonts w:asciiTheme="majorHAnsi" w:hAnsiTheme="majorHAnsi" w:cstheme="majorHAnsi"/>
          <w:position w:val="0"/>
        </w:rPr>
        <w:t>metafunction</w:t>
      </w:r>
      <w:proofErr w:type="spellEnd"/>
      <w:r w:rsidRPr="00877F28">
        <w:rPr>
          <w:rFonts w:asciiTheme="majorHAnsi" w:hAnsiTheme="majorHAnsi" w:cstheme="majorHAnsi"/>
          <w:position w:val="0"/>
        </w:rPr>
        <w:t>; and (3) interpreting the findings in relation to Indonesia’s socio-historical context, particularly the nation’s vision for 2045. This design was appropriate because descriptive qualitative research allows scholars to capture the depth of meaning embedded in texts and to present findings in a manner that remains close to the data while also allowing theoretical interpretation.</w:t>
      </w:r>
    </w:p>
    <w:p w:rsidR="006E1E85" w:rsidRPr="004F09E2" w:rsidRDefault="006E1E85" w:rsidP="006E1E85">
      <w:pPr>
        <w:pStyle w:val="NormalWeb"/>
        <w:spacing w:before="0" w:beforeAutospacing="0" w:after="0" w:afterAutospacing="0"/>
        <w:ind w:leftChars="0" w:left="0" w:firstLineChars="0" w:firstLine="0"/>
        <w:jc w:val="both"/>
        <w:rPr>
          <w:rFonts w:asciiTheme="majorHAnsi" w:hAnsiTheme="majorHAnsi" w:cstheme="majorHAnsi"/>
          <w:position w:val="0"/>
        </w:rPr>
      </w:pPr>
    </w:p>
    <w:p w:rsidR="006A7313" w:rsidRPr="004F09E2" w:rsidRDefault="000934A7" w:rsidP="003E1121">
      <w:pPr>
        <w:pStyle w:val="references"/>
        <w:ind w:left="1" w:hanging="3"/>
        <w:rPr>
          <w:rFonts w:asciiTheme="majorHAnsi" w:eastAsia="Calibri" w:hAnsiTheme="majorHAnsi" w:cstheme="majorHAnsi"/>
          <w:b/>
          <w:sz w:val="28"/>
          <w:szCs w:val="24"/>
        </w:rPr>
      </w:pPr>
      <w:r w:rsidRPr="004F09E2">
        <w:rPr>
          <w:rFonts w:asciiTheme="majorHAnsi" w:eastAsia="Calibri" w:hAnsiTheme="majorHAnsi" w:cstheme="majorHAnsi"/>
          <w:b/>
          <w:sz w:val="28"/>
          <w:szCs w:val="24"/>
        </w:rPr>
        <w:t xml:space="preserve">Results and Discussion </w:t>
      </w:r>
    </w:p>
    <w:p w:rsidR="00C12653" w:rsidRDefault="00665334" w:rsidP="00665334">
      <w:pPr>
        <w:ind w:left="0" w:hanging="2"/>
        <w:jc w:val="both"/>
        <w:rPr>
          <w:rFonts w:asciiTheme="majorHAnsi" w:hAnsiTheme="majorHAnsi" w:cstheme="majorHAnsi"/>
          <w:sz w:val="24"/>
          <w:szCs w:val="24"/>
        </w:rPr>
      </w:pPr>
      <w:r w:rsidRPr="00877F28">
        <w:rPr>
          <w:rFonts w:asciiTheme="majorHAnsi" w:hAnsiTheme="majorHAnsi" w:cstheme="majorHAnsi"/>
          <w:sz w:val="24"/>
          <w:szCs w:val="24"/>
        </w:rPr>
        <w:t xml:space="preserve">This study investigates Indonesian Independence Day slogans from 2015 to 2025 through the perspective of Systemic Functional Linguistics, with a focus on the interpersonal </w:t>
      </w:r>
      <w:proofErr w:type="spellStart"/>
      <w:r w:rsidRPr="00877F28">
        <w:rPr>
          <w:rFonts w:asciiTheme="majorHAnsi" w:hAnsiTheme="majorHAnsi" w:cstheme="majorHAnsi"/>
          <w:sz w:val="24"/>
          <w:szCs w:val="24"/>
        </w:rPr>
        <w:t>metafunction</w:t>
      </w:r>
      <w:proofErr w:type="spellEnd"/>
      <w:r w:rsidRPr="00877F28">
        <w:rPr>
          <w:rFonts w:asciiTheme="majorHAnsi" w:hAnsiTheme="majorHAnsi" w:cstheme="majorHAnsi"/>
          <w:sz w:val="24"/>
          <w:szCs w:val="24"/>
        </w:rPr>
        <w:t>. The findings indicate that these slogans function not only as symbolic commemorations but also as discursive strategies that establish authority, strengthen solidarity, and encourage collective engagement. An exploration of mood, modality, and evaluative expressions demonstrates that each slogan embodies the sociopolitical agenda of its respective period while consistently highlighting themes of unity, endurance, and national advancement. The subsequent discussion elaborates on the linguistic patterns present in the slogans and interprets their broader role in reinforcing ideology and shaping public consciousness.</w:t>
      </w:r>
    </w:p>
    <w:p w:rsidR="006E1E85" w:rsidRPr="00877F28" w:rsidRDefault="006E1E85" w:rsidP="00665334">
      <w:pPr>
        <w:ind w:left="0" w:hanging="2"/>
        <w:jc w:val="both"/>
        <w:rPr>
          <w:rFonts w:asciiTheme="majorHAnsi" w:hAnsiTheme="majorHAnsi" w:cstheme="majorHAnsi"/>
          <w:sz w:val="24"/>
          <w:szCs w:val="24"/>
        </w:rPr>
      </w:pPr>
    </w:p>
    <w:tbl>
      <w:tblPr>
        <w:tblStyle w:val="TableGrid"/>
        <w:tblW w:w="9209" w:type="dxa"/>
        <w:tblLook w:val="04A0" w:firstRow="1" w:lastRow="0" w:firstColumn="1" w:lastColumn="0" w:noHBand="0" w:noVBand="1"/>
      </w:tblPr>
      <w:tblGrid>
        <w:gridCol w:w="898"/>
        <w:gridCol w:w="1653"/>
        <w:gridCol w:w="1215"/>
        <w:gridCol w:w="1122"/>
        <w:gridCol w:w="992"/>
        <w:gridCol w:w="1526"/>
        <w:gridCol w:w="1803"/>
      </w:tblGrid>
      <w:tr w:rsidR="00E64D0D" w:rsidRPr="006E1E85" w:rsidTr="00877F28">
        <w:tc>
          <w:tcPr>
            <w:tcW w:w="0" w:type="auto"/>
            <w:hideMark/>
          </w:tcPr>
          <w:p w:rsidR="00E64D0D" w:rsidRPr="006E1E85" w:rsidRDefault="00E64D0D" w:rsidP="00F31649">
            <w:pPr>
              <w:ind w:left="0" w:hanging="2"/>
              <w:jc w:val="center"/>
              <w:rPr>
                <w:rFonts w:asciiTheme="majorHAnsi" w:hAnsiTheme="majorHAnsi" w:cstheme="majorHAnsi"/>
                <w:b/>
                <w:bCs/>
                <w:szCs w:val="24"/>
              </w:rPr>
            </w:pPr>
            <w:r w:rsidRPr="006E1E85">
              <w:rPr>
                <w:rFonts w:asciiTheme="majorHAnsi" w:hAnsiTheme="majorHAnsi" w:cstheme="majorHAnsi"/>
                <w:b/>
                <w:bCs/>
                <w:szCs w:val="24"/>
              </w:rPr>
              <w:t>Year (</w:t>
            </w:r>
            <w:proofErr w:type="spellStart"/>
            <w:r w:rsidRPr="006E1E85">
              <w:rPr>
                <w:rFonts w:asciiTheme="majorHAnsi" w:hAnsiTheme="majorHAnsi" w:cstheme="majorHAnsi"/>
                <w:b/>
                <w:bCs/>
                <w:szCs w:val="24"/>
              </w:rPr>
              <w:t>Anniv</w:t>
            </w:r>
            <w:proofErr w:type="spellEnd"/>
            <w:r w:rsidRPr="006E1E85">
              <w:rPr>
                <w:rFonts w:asciiTheme="majorHAnsi" w:hAnsiTheme="majorHAnsi" w:cstheme="majorHAnsi"/>
                <w:b/>
                <w:bCs/>
                <w:szCs w:val="24"/>
              </w:rPr>
              <w:t>.)</w:t>
            </w:r>
          </w:p>
        </w:tc>
        <w:tc>
          <w:tcPr>
            <w:tcW w:w="0" w:type="auto"/>
            <w:hideMark/>
          </w:tcPr>
          <w:p w:rsidR="00E64D0D" w:rsidRPr="006E1E85" w:rsidRDefault="00E64D0D" w:rsidP="00F31649">
            <w:pPr>
              <w:ind w:left="0" w:hanging="2"/>
              <w:jc w:val="center"/>
              <w:rPr>
                <w:rFonts w:asciiTheme="majorHAnsi" w:hAnsiTheme="majorHAnsi" w:cstheme="majorHAnsi"/>
                <w:b/>
                <w:bCs/>
                <w:szCs w:val="24"/>
              </w:rPr>
            </w:pPr>
            <w:r w:rsidRPr="006E1E85">
              <w:rPr>
                <w:rFonts w:asciiTheme="majorHAnsi" w:hAnsiTheme="majorHAnsi" w:cstheme="majorHAnsi"/>
                <w:b/>
                <w:bCs/>
                <w:szCs w:val="24"/>
              </w:rPr>
              <w:t>Slogan (</w:t>
            </w:r>
            <w:proofErr w:type="spellStart"/>
            <w:r w:rsidRPr="006E1E85">
              <w:rPr>
                <w:rFonts w:asciiTheme="majorHAnsi" w:hAnsiTheme="majorHAnsi" w:cstheme="majorHAnsi"/>
                <w:b/>
                <w:bCs/>
                <w:szCs w:val="24"/>
              </w:rPr>
              <w:t>Ind</w:t>
            </w:r>
            <w:proofErr w:type="spellEnd"/>
            <w:r w:rsidRPr="006E1E85">
              <w:rPr>
                <w:rFonts w:asciiTheme="majorHAnsi" w:hAnsiTheme="majorHAnsi" w:cstheme="majorHAnsi"/>
                <w:b/>
                <w:bCs/>
                <w:szCs w:val="24"/>
              </w:rPr>
              <w:t>–</w:t>
            </w:r>
            <w:proofErr w:type="spellStart"/>
            <w:r w:rsidRPr="006E1E85">
              <w:rPr>
                <w:rFonts w:asciiTheme="majorHAnsi" w:hAnsiTheme="majorHAnsi" w:cstheme="majorHAnsi"/>
                <w:b/>
                <w:bCs/>
                <w:szCs w:val="24"/>
              </w:rPr>
              <w:t>Eng</w:t>
            </w:r>
            <w:proofErr w:type="spellEnd"/>
            <w:r w:rsidRPr="006E1E85">
              <w:rPr>
                <w:rFonts w:asciiTheme="majorHAnsi" w:hAnsiTheme="majorHAnsi" w:cstheme="majorHAnsi"/>
                <w:b/>
                <w:bCs/>
                <w:szCs w:val="24"/>
              </w:rPr>
              <w:t>)</w:t>
            </w:r>
          </w:p>
        </w:tc>
        <w:tc>
          <w:tcPr>
            <w:tcW w:w="0" w:type="auto"/>
            <w:hideMark/>
          </w:tcPr>
          <w:p w:rsidR="00E64D0D" w:rsidRPr="006E1E85" w:rsidRDefault="00E64D0D" w:rsidP="00F31649">
            <w:pPr>
              <w:ind w:left="0" w:hanging="2"/>
              <w:jc w:val="center"/>
              <w:rPr>
                <w:rFonts w:asciiTheme="majorHAnsi" w:hAnsiTheme="majorHAnsi" w:cstheme="majorHAnsi"/>
                <w:b/>
                <w:bCs/>
                <w:szCs w:val="24"/>
              </w:rPr>
            </w:pPr>
            <w:r w:rsidRPr="006E1E85">
              <w:rPr>
                <w:rFonts w:asciiTheme="majorHAnsi" w:hAnsiTheme="majorHAnsi" w:cstheme="majorHAnsi"/>
                <w:b/>
                <w:bCs/>
                <w:szCs w:val="24"/>
              </w:rPr>
              <w:t>Mood</w:t>
            </w:r>
          </w:p>
        </w:tc>
        <w:tc>
          <w:tcPr>
            <w:tcW w:w="0" w:type="auto"/>
            <w:hideMark/>
          </w:tcPr>
          <w:p w:rsidR="00E64D0D" w:rsidRPr="006E1E85" w:rsidRDefault="00E64D0D" w:rsidP="00F31649">
            <w:pPr>
              <w:ind w:left="0" w:hanging="2"/>
              <w:jc w:val="center"/>
              <w:rPr>
                <w:rFonts w:asciiTheme="majorHAnsi" w:hAnsiTheme="majorHAnsi" w:cstheme="majorHAnsi"/>
                <w:b/>
                <w:bCs/>
                <w:szCs w:val="24"/>
              </w:rPr>
            </w:pPr>
            <w:r w:rsidRPr="006E1E85">
              <w:rPr>
                <w:rFonts w:asciiTheme="majorHAnsi" w:hAnsiTheme="majorHAnsi" w:cstheme="majorHAnsi"/>
                <w:b/>
                <w:bCs/>
                <w:szCs w:val="24"/>
              </w:rPr>
              <w:t>Modality</w:t>
            </w:r>
          </w:p>
        </w:tc>
        <w:tc>
          <w:tcPr>
            <w:tcW w:w="0" w:type="auto"/>
            <w:hideMark/>
          </w:tcPr>
          <w:p w:rsidR="00E64D0D" w:rsidRPr="006E1E85" w:rsidRDefault="00E64D0D" w:rsidP="00F31649">
            <w:pPr>
              <w:ind w:left="0" w:hanging="2"/>
              <w:jc w:val="center"/>
              <w:rPr>
                <w:rFonts w:asciiTheme="majorHAnsi" w:hAnsiTheme="majorHAnsi" w:cstheme="majorHAnsi"/>
                <w:b/>
                <w:bCs/>
                <w:szCs w:val="24"/>
              </w:rPr>
            </w:pPr>
            <w:r w:rsidRPr="006E1E85">
              <w:rPr>
                <w:rFonts w:asciiTheme="majorHAnsi" w:hAnsiTheme="majorHAnsi" w:cstheme="majorHAnsi"/>
                <w:b/>
                <w:bCs/>
                <w:szCs w:val="24"/>
              </w:rPr>
              <w:t>Pronoun</w:t>
            </w:r>
          </w:p>
        </w:tc>
        <w:tc>
          <w:tcPr>
            <w:tcW w:w="0" w:type="auto"/>
            <w:hideMark/>
          </w:tcPr>
          <w:p w:rsidR="00E64D0D" w:rsidRPr="006E1E85" w:rsidRDefault="00E64D0D" w:rsidP="00F31649">
            <w:pPr>
              <w:ind w:left="0" w:hanging="2"/>
              <w:jc w:val="center"/>
              <w:rPr>
                <w:rFonts w:asciiTheme="majorHAnsi" w:hAnsiTheme="majorHAnsi" w:cstheme="majorHAnsi"/>
                <w:b/>
                <w:bCs/>
                <w:szCs w:val="24"/>
              </w:rPr>
            </w:pPr>
            <w:r w:rsidRPr="006E1E85">
              <w:rPr>
                <w:rFonts w:asciiTheme="majorHAnsi" w:hAnsiTheme="majorHAnsi" w:cstheme="majorHAnsi"/>
                <w:b/>
                <w:bCs/>
                <w:szCs w:val="24"/>
              </w:rPr>
              <w:t>Appraisal</w:t>
            </w:r>
          </w:p>
        </w:tc>
        <w:tc>
          <w:tcPr>
            <w:tcW w:w="1803" w:type="dxa"/>
            <w:hideMark/>
          </w:tcPr>
          <w:p w:rsidR="00E64D0D" w:rsidRPr="006E1E85" w:rsidRDefault="00E64D0D" w:rsidP="00F31649">
            <w:pPr>
              <w:ind w:left="0" w:hanging="2"/>
              <w:jc w:val="center"/>
              <w:rPr>
                <w:rFonts w:asciiTheme="majorHAnsi" w:hAnsiTheme="majorHAnsi" w:cstheme="majorHAnsi"/>
                <w:b/>
                <w:bCs/>
                <w:szCs w:val="24"/>
              </w:rPr>
            </w:pPr>
            <w:r w:rsidRPr="006E1E85">
              <w:rPr>
                <w:rFonts w:asciiTheme="majorHAnsi" w:hAnsiTheme="majorHAnsi" w:cstheme="majorHAnsi"/>
                <w:b/>
                <w:bCs/>
                <w:szCs w:val="24"/>
              </w:rPr>
              <w:t>Interpersonal Interpretation</w:t>
            </w:r>
          </w:p>
        </w:tc>
      </w:tr>
      <w:tr w:rsidR="00E64D0D" w:rsidRPr="006E1E85" w:rsidTr="00877F28">
        <w:tc>
          <w:tcPr>
            <w:tcW w:w="0" w:type="auto"/>
            <w:hideMark/>
          </w:tcPr>
          <w:p w:rsidR="00E64D0D" w:rsidRPr="006E1E85" w:rsidRDefault="00E64D0D" w:rsidP="00F31649">
            <w:pPr>
              <w:ind w:left="0" w:hanging="2"/>
              <w:rPr>
                <w:rFonts w:asciiTheme="majorHAnsi" w:hAnsiTheme="majorHAnsi" w:cstheme="majorHAnsi"/>
                <w:szCs w:val="24"/>
              </w:rPr>
            </w:pPr>
            <w:r w:rsidRPr="006E1E85">
              <w:rPr>
                <w:rFonts w:asciiTheme="majorHAnsi" w:hAnsiTheme="majorHAnsi" w:cstheme="majorHAnsi"/>
                <w:b/>
                <w:bCs/>
                <w:szCs w:val="24"/>
              </w:rPr>
              <w:t>70</w:t>
            </w:r>
            <w:r w:rsidRPr="006E1E85">
              <w:rPr>
                <w:rFonts w:asciiTheme="majorHAnsi" w:hAnsiTheme="majorHAnsi" w:cstheme="majorHAnsi"/>
                <w:b/>
                <w:bCs/>
                <w:szCs w:val="24"/>
                <w:vertAlign w:val="superscript"/>
              </w:rPr>
              <w:t>th</w:t>
            </w:r>
            <w:r w:rsidRPr="006E1E85">
              <w:rPr>
                <w:rFonts w:asciiTheme="majorHAnsi" w:hAnsiTheme="majorHAnsi" w:cstheme="majorHAnsi"/>
                <w:b/>
                <w:bCs/>
                <w:szCs w:val="24"/>
              </w:rPr>
              <w:t xml:space="preserve"> (2015)</w:t>
            </w:r>
          </w:p>
        </w:tc>
        <w:tc>
          <w:tcPr>
            <w:tcW w:w="0" w:type="auto"/>
            <w:hideMark/>
          </w:tcPr>
          <w:p w:rsidR="00E64D0D" w:rsidRPr="006E1E85" w:rsidRDefault="00E64D0D" w:rsidP="00F31649">
            <w:pPr>
              <w:ind w:left="0" w:hanging="2"/>
              <w:rPr>
                <w:rFonts w:asciiTheme="majorHAnsi" w:hAnsiTheme="majorHAnsi" w:cstheme="majorHAnsi"/>
                <w:szCs w:val="24"/>
              </w:rPr>
            </w:pPr>
            <w:r w:rsidRPr="006E1E85">
              <w:rPr>
                <w:rFonts w:asciiTheme="majorHAnsi" w:hAnsiTheme="majorHAnsi" w:cstheme="majorHAnsi"/>
                <w:i/>
                <w:iCs/>
                <w:szCs w:val="24"/>
              </w:rPr>
              <w:t xml:space="preserve">Ayo </w:t>
            </w:r>
            <w:proofErr w:type="spellStart"/>
            <w:r w:rsidRPr="006E1E85">
              <w:rPr>
                <w:rFonts w:asciiTheme="majorHAnsi" w:hAnsiTheme="majorHAnsi" w:cstheme="majorHAnsi"/>
                <w:i/>
                <w:iCs/>
                <w:szCs w:val="24"/>
              </w:rPr>
              <w:t>Kerja</w:t>
            </w:r>
            <w:proofErr w:type="spellEnd"/>
            <w:r w:rsidRPr="006E1E85">
              <w:rPr>
                <w:rFonts w:asciiTheme="majorHAnsi" w:hAnsiTheme="majorHAnsi" w:cstheme="majorHAnsi"/>
                <w:szCs w:val="24"/>
              </w:rPr>
              <w:t xml:space="preserve"> – </w:t>
            </w:r>
            <w:r w:rsidRPr="006E1E85">
              <w:rPr>
                <w:rFonts w:asciiTheme="majorHAnsi" w:hAnsiTheme="majorHAnsi" w:cstheme="majorHAnsi"/>
                <w:i/>
                <w:iCs/>
                <w:szCs w:val="24"/>
              </w:rPr>
              <w:t>Let’s Work</w:t>
            </w:r>
          </w:p>
        </w:tc>
        <w:tc>
          <w:tcPr>
            <w:tcW w:w="0" w:type="auto"/>
            <w:hideMark/>
          </w:tcPr>
          <w:p w:rsidR="00E64D0D" w:rsidRPr="006E1E85" w:rsidRDefault="00E64D0D" w:rsidP="00F31649">
            <w:pPr>
              <w:ind w:left="0" w:hanging="2"/>
              <w:rPr>
                <w:rFonts w:asciiTheme="majorHAnsi" w:hAnsiTheme="majorHAnsi" w:cstheme="majorHAnsi"/>
                <w:szCs w:val="24"/>
              </w:rPr>
            </w:pPr>
            <w:r w:rsidRPr="006E1E85">
              <w:rPr>
                <w:rFonts w:asciiTheme="majorHAnsi" w:hAnsiTheme="majorHAnsi" w:cstheme="majorHAnsi"/>
                <w:szCs w:val="24"/>
              </w:rPr>
              <w:t>Imperative</w:t>
            </w:r>
          </w:p>
        </w:tc>
        <w:tc>
          <w:tcPr>
            <w:tcW w:w="0" w:type="auto"/>
            <w:hideMark/>
          </w:tcPr>
          <w:p w:rsidR="00E64D0D" w:rsidRPr="006E1E85" w:rsidRDefault="00E64D0D" w:rsidP="00F31649">
            <w:pPr>
              <w:ind w:left="0" w:hanging="2"/>
              <w:rPr>
                <w:rFonts w:asciiTheme="majorHAnsi" w:hAnsiTheme="majorHAnsi" w:cstheme="majorHAnsi"/>
                <w:szCs w:val="24"/>
              </w:rPr>
            </w:pPr>
            <w:r w:rsidRPr="006E1E85">
              <w:rPr>
                <w:rFonts w:asciiTheme="majorHAnsi" w:hAnsiTheme="majorHAnsi" w:cstheme="majorHAnsi"/>
                <w:szCs w:val="24"/>
              </w:rPr>
              <w:t>Medium obligation</w:t>
            </w:r>
          </w:p>
        </w:tc>
        <w:tc>
          <w:tcPr>
            <w:tcW w:w="0" w:type="auto"/>
            <w:hideMark/>
          </w:tcPr>
          <w:p w:rsidR="00E64D0D" w:rsidRPr="006E1E85" w:rsidRDefault="00E64D0D" w:rsidP="00F31649">
            <w:pPr>
              <w:ind w:left="0" w:hanging="2"/>
              <w:rPr>
                <w:rFonts w:asciiTheme="majorHAnsi" w:hAnsiTheme="majorHAnsi" w:cstheme="majorHAnsi"/>
                <w:szCs w:val="24"/>
              </w:rPr>
            </w:pPr>
            <w:r w:rsidRPr="006E1E85">
              <w:rPr>
                <w:rFonts w:asciiTheme="majorHAnsi" w:hAnsiTheme="majorHAnsi" w:cstheme="majorHAnsi"/>
                <w:szCs w:val="24"/>
              </w:rPr>
              <w:t>Implicit “we”</w:t>
            </w:r>
          </w:p>
        </w:tc>
        <w:tc>
          <w:tcPr>
            <w:tcW w:w="0" w:type="auto"/>
            <w:hideMark/>
          </w:tcPr>
          <w:p w:rsidR="00E64D0D" w:rsidRPr="006E1E85" w:rsidRDefault="00E64D0D" w:rsidP="00F31649">
            <w:pPr>
              <w:ind w:left="0" w:hanging="2"/>
              <w:rPr>
                <w:rFonts w:asciiTheme="majorHAnsi" w:hAnsiTheme="majorHAnsi" w:cstheme="majorHAnsi"/>
                <w:szCs w:val="24"/>
              </w:rPr>
            </w:pPr>
            <w:r w:rsidRPr="006E1E85">
              <w:rPr>
                <w:rFonts w:asciiTheme="majorHAnsi" w:hAnsiTheme="majorHAnsi" w:cstheme="majorHAnsi"/>
                <w:szCs w:val="24"/>
              </w:rPr>
              <w:t>Motivational, inclusive</w:t>
            </w:r>
          </w:p>
        </w:tc>
        <w:tc>
          <w:tcPr>
            <w:tcW w:w="1803" w:type="dxa"/>
            <w:hideMark/>
          </w:tcPr>
          <w:p w:rsidR="00E64D0D" w:rsidRPr="006E1E85" w:rsidRDefault="00E64D0D" w:rsidP="00F31649">
            <w:pPr>
              <w:ind w:left="0" w:hanging="2"/>
              <w:rPr>
                <w:rFonts w:asciiTheme="majorHAnsi" w:hAnsiTheme="majorHAnsi" w:cstheme="majorHAnsi"/>
                <w:szCs w:val="24"/>
              </w:rPr>
            </w:pPr>
            <w:r w:rsidRPr="006E1E85">
              <w:rPr>
                <w:rFonts w:asciiTheme="majorHAnsi" w:hAnsiTheme="majorHAnsi" w:cstheme="majorHAnsi"/>
                <w:szCs w:val="24"/>
              </w:rPr>
              <w:t>Encourages collective responsibility; builds solidarity through direct call to action.</w:t>
            </w:r>
          </w:p>
        </w:tc>
      </w:tr>
      <w:tr w:rsidR="00E64D0D" w:rsidRPr="006E1E85" w:rsidTr="00877F28">
        <w:tc>
          <w:tcPr>
            <w:tcW w:w="0" w:type="auto"/>
            <w:hideMark/>
          </w:tcPr>
          <w:p w:rsidR="00E64D0D" w:rsidRPr="006E1E85" w:rsidRDefault="00E64D0D" w:rsidP="00F31649">
            <w:pPr>
              <w:ind w:left="0" w:hanging="2"/>
              <w:rPr>
                <w:rFonts w:asciiTheme="majorHAnsi" w:hAnsiTheme="majorHAnsi" w:cstheme="majorHAnsi"/>
                <w:szCs w:val="24"/>
              </w:rPr>
            </w:pPr>
            <w:r w:rsidRPr="006E1E85">
              <w:rPr>
                <w:rFonts w:asciiTheme="majorHAnsi" w:hAnsiTheme="majorHAnsi" w:cstheme="majorHAnsi"/>
                <w:b/>
                <w:bCs/>
                <w:szCs w:val="24"/>
              </w:rPr>
              <w:t>71</w:t>
            </w:r>
            <w:r w:rsidRPr="006E1E85">
              <w:rPr>
                <w:rFonts w:asciiTheme="majorHAnsi" w:hAnsiTheme="majorHAnsi" w:cstheme="majorHAnsi"/>
                <w:b/>
                <w:bCs/>
                <w:szCs w:val="24"/>
                <w:vertAlign w:val="superscript"/>
              </w:rPr>
              <w:t>st</w:t>
            </w:r>
            <w:r w:rsidRPr="006E1E85">
              <w:rPr>
                <w:rFonts w:asciiTheme="majorHAnsi" w:hAnsiTheme="majorHAnsi" w:cstheme="majorHAnsi"/>
                <w:b/>
                <w:bCs/>
                <w:szCs w:val="24"/>
              </w:rPr>
              <w:t xml:space="preserve"> (2016)</w:t>
            </w:r>
          </w:p>
        </w:tc>
        <w:tc>
          <w:tcPr>
            <w:tcW w:w="0" w:type="auto"/>
            <w:hideMark/>
          </w:tcPr>
          <w:p w:rsidR="00E64D0D" w:rsidRPr="006E1E85" w:rsidRDefault="00E64D0D" w:rsidP="00F31649">
            <w:pPr>
              <w:ind w:left="0" w:hanging="2"/>
              <w:rPr>
                <w:rFonts w:asciiTheme="majorHAnsi" w:hAnsiTheme="majorHAnsi" w:cstheme="majorHAnsi"/>
                <w:szCs w:val="24"/>
              </w:rPr>
            </w:pPr>
            <w:proofErr w:type="spellStart"/>
            <w:r w:rsidRPr="006E1E85">
              <w:rPr>
                <w:rFonts w:asciiTheme="majorHAnsi" w:hAnsiTheme="majorHAnsi" w:cstheme="majorHAnsi"/>
                <w:i/>
                <w:iCs/>
                <w:szCs w:val="24"/>
              </w:rPr>
              <w:t>Kerja</w:t>
            </w:r>
            <w:proofErr w:type="spellEnd"/>
            <w:r w:rsidRPr="006E1E85">
              <w:rPr>
                <w:rFonts w:asciiTheme="majorHAnsi" w:hAnsiTheme="majorHAnsi" w:cstheme="majorHAnsi"/>
                <w:i/>
                <w:iCs/>
                <w:szCs w:val="24"/>
              </w:rPr>
              <w:t xml:space="preserve"> </w:t>
            </w:r>
            <w:proofErr w:type="spellStart"/>
            <w:r w:rsidRPr="006E1E85">
              <w:rPr>
                <w:rFonts w:asciiTheme="majorHAnsi" w:hAnsiTheme="majorHAnsi" w:cstheme="majorHAnsi"/>
                <w:i/>
                <w:iCs/>
                <w:szCs w:val="24"/>
              </w:rPr>
              <w:t>Nyata</w:t>
            </w:r>
            <w:proofErr w:type="spellEnd"/>
            <w:r w:rsidRPr="006E1E85">
              <w:rPr>
                <w:rFonts w:asciiTheme="majorHAnsi" w:hAnsiTheme="majorHAnsi" w:cstheme="majorHAnsi"/>
                <w:szCs w:val="24"/>
              </w:rPr>
              <w:t xml:space="preserve"> – </w:t>
            </w:r>
            <w:r w:rsidRPr="006E1E85">
              <w:rPr>
                <w:rFonts w:asciiTheme="majorHAnsi" w:hAnsiTheme="majorHAnsi" w:cstheme="majorHAnsi"/>
                <w:i/>
                <w:iCs/>
                <w:szCs w:val="24"/>
              </w:rPr>
              <w:t>Real Work</w:t>
            </w:r>
          </w:p>
        </w:tc>
        <w:tc>
          <w:tcPr>
            <w:tcW w:w="0" w:type="auto"/>
            <w:hideMark/>
          </w:tcPr>
          <w:p w:rsidR="00E64D0D" w:rsidRPr="006E1E85" w:rsidRDefault="00E64D0D" w:rsidP="00F31649">
            <w:pPr>
              <w:ind w:left="0" w:hanging="2"/>
              <w:rPr>
                <w:rFonts w:asciiTheme="majorHAnsi" w:hAnsiTheme="majorHAnsi" w:cstheme="majorHAnsi"/>
                <w:szCs w:val="24"/>
              </w:rPr>
            </w:pPr>
            <w:r w:rsidRPr="006E1E85">
              <w:rPr>
                <w:rFonts w:asciiTheme="majorHAnsi" w:hAnsiTheme="majorHAnsi" w:cstheme="majorHAnsi"/>
                <w:szCs w:val="24"/>
              </w:rPr>
              <w:t>Declarative (elliptical)</w:t>
            </w:r>
          </w:p>
        </w:tc>
        <w:tc>
          <w:tcPr>
            <w:tcW w:w="0" w:type="auto"/>
            <w:hideMark/>
          </w:tcPr>
          <w:p w:rsidR="00E64D0D" w:rsidRPr="006E1E85" w:rsidRDefault="00E64D0D" w:rsidP="00F31649">
            <w:pPr>
              <w:ind w:left="0" w:hanging="2"/>
              <w:rPr>
                <w:rFonts w:asciiTheme="majorHAnsi" w:hAnsiTheme="majorHAnsi" w:cstheme="majorHAnsi"/>
                <w:szCs w:val="24"/>
              </w:rPr>
            </w:pPr>
            <w:r w:rsidRPr="006E1E85">
              <w:rPr>
                <w:rFonts w:asciiTheme="majorHAnsi" w:hAnsiTheme="majorHAnsi" w:cstheme="majorHAnsi"/>
                <w:szCs w:val="24"/>
              </w:rPr>
              <w:t>High certainty</w:t>
            </w:r>
          </w:p>
        </w:tc>
        <w:tc>
          <w:tcPr>
            <w:tcW w:w="0" w:type="auto"/>
            <w:hideMark/>
          </w:tcPr>
          <w:p w:rsidR="00E64D0D" w:rsidRPr="006E1E85" w:rsidRDefault="00E64D0D" w:rsidP="00F31649">
            <w:pPr>
              <w:ind w:left="0" w:hanging="2"/>
              <w:rPr>
                <w:rFonts w:asciiTheme="majorHAnsi" w:hAnsiTheme="majorHAnsi" w:cstheme="majorHAnsi"/>
                <w:szCs w:val="24"/>
              </w:rPr>
            </w:pPr>
            <w:r w:rsidRPr="006E1E85">
              <w:rPr>
                <w:rFonts w:asciiTheme="majorHAnsi" w:hAnsiTheme="majorHAnsi" w:cstheme="majorHAnsi"/>
                <w:szCs w:val="24"/>
              </w:rPr>
              <w:t>None</w:t>
            </w:r>
          </w:p>
        </w:tc>
        <w:tc>
          <w:tcPr>
            <w:tcW w:w="0" w:type="auto"/>
            <w:hideMark/>
          </w:tcPr>
          <w:p w:rsidR="00E64D0D" w:rsidRPr="006E1E85" w:rsidRDefault="00E64D0D" w:rsidP="00F31649">
            <w:pPr>
              <w:ind w:left="0" w:hanging="2"/>
              <w:rPr>
                <w:rFonts w:asciiTheme="majorHAnsi" w:hAnsiTheme="majorHAnsi" w:cstheme="majorHAnsi"/>
                <w:szCs w:val="24"/>
              </w:rPr>
            </w:pPr>
            <w:r w:rsidRPr="006E1E85">
              <w:rPr>
                <w:rFonts w:asciiTheme="majorHAnsi" w:hAnsiTheme="majorHAnsi" w:cstheme="majorHAnsi"/>
                <w:szCs w:val="24"/>
              </w:rPr>
              <w:t>Assertive, evaluative</w:t>
            </w:r>
          </w:p>
        </w:tc>
        <w:tc>
          <w:tcPr>
            <w:tcW w:w="1803" w:type="dxa"/>
            <w:hideMark/>
          </w:tcPr>
          <w:p w:rsidR="00E64D0D" w:rsidRPr="006E1E85" w:rsidRDefault="00E64D0D" w:rsidP="00F31649">
            <w:pPr>
              <w:ind w:left="0" w:hanging="2"/>
              <w:rPr>
                <w:rFonts w:asciiTheme="majorHAnsi" w:hAnsiTheme="majorHAnsi" w:cstheme="majorHAnsi"/>
                <w:szCs w:val="24"/>
              </w:rPr>
            </w:pPr>
            <w:r w:rsidRPr="006E1E85">
              <w:rPr>
                <w:rFonts w:asciiTheme="majorHAnsi" w:hAnsiTheme="majorHAnsi" w:cstheme="majorHAnsi"/>
                <w:szCs w:val="24"/>
              </w:rPr>
              <w:t>Demands authenticity and accountability; distinguishes genuine contribution.</w:t>
            </w:r>
          </w:p>
        </w:tc>
      </w:tr>
      <w:tr w:rsidR="00E64D0D" w:rsidRPr="006E1E85" w:rsidTr="00877F28">
        <w:tc>
          <w:tcPr>
            <w:tcW w:w="0" w:type="auto"/>
            <w:hideMark/>
          </w:tcPr>
          <w:p w:rsidR="00E64D0D" w:rsidRPr="006E1E85" w:rsidRDefault="00E64D0D" w:rsidP="00F31649">
            <w:pPr>
              <w:ind w:left="0" w:hanging="2"/>
              <w:rPr>
                <w:rFonts w:asciiTheme="majorHAnsi" w:hAnsiTheme="majorHAnsi" w:cstheme="majorHAnsi"/>
                <w:szCs w:val="24"/>
              </w:rPr>
            </w:pPr>
            <w:r w:rsidRPr="006E1E85">
              <w:rPr>
                <w:rFonts w:asciiTheme="majorHAnsi" w:hAnsiTheme="majorHAnsi" w:cstheme="majorHAnsi"/>
                <w:b/>
                <w:bCs/>
                <w:szCs w:val="24"/>
              </w:rPr>
              <w:lastRenderedPageBreak/>
              <w:t>72</w:t>
            </w:r>
            <w:r w:rsidRPr="006E1E85">
              <w:rPr>
                <w:rFonts w:asciiTheme="majorHAnsi" w:hAnsiTheme="majorHAnsi" w:cstheme="majorHAnsi"/>
                <w:b/>
                <w:bCs/>
                <w:szCs w:val="24"/>
                <w:vertAlign w:val="superscript"/>
              </w:rPr>
              <w:t>nd</w:t>
            </w:r>
            <w:r w:rsidRPr="006E1E85">
              <w:rPr>
                <w:rFonts w:asciiTheme="majorHAnsi" w:hAnsiTheme="majorHAnsi" w:cstheme="majorHAnsi"/>
                <w:b/>
                <w:bCs/>
                <w:szCs w:val="24"/>
              </w:rPr>
              <w:t xml:space="preserve"> (2017)</w:t>
            </w:r>
          </w:p>
        </w:tc>
        <w:tc>
          <w:tcPr>
            <w:tcW w:w="0" w:type="auto"/>
            <w:hideMark/>
          </w:tcPr>
          <w:p w:rsidR="00E64D0D" w:rsidRPr="006E1E85" w:rsidRDefault="00E64D0D" w:rsidP="00F31649">
            <w:pPr>
              <w:ind w:left="0" w:hanging="2"/>
              <w:rPr>
                <w:rFonts w:asciiTheme="majorHAnsi" w:hAnsiTheme="majorHAnsi" w:cstheme="majorHAnsi"/>
                <w:szCs w:val="24"/>
              </w:rPr>
            </w:pPr>
            <w:proofErr w:type="spellStart"/>
            <w:r w:rsidRPr="006E1E85">
              <w:rPr>
                <w:rFonts w:asciiTheme="majorHAnsi" w:hAnsiTheme="majorHAnsi" w:cstheme="majorHAnsi"/>
                <w:i/>
                <w:iCs/>
                <w:szCs w:val="24"/>
              </w:rPr>
              <w:t>Kerja</w:t>
            </w:r>
            <w:proofErr w:type="spellEnd"/>
            <w:r w:rsidRPr="006E1E85">
              <w:rPr>
                <w:rFonts w:asciiTheme="majorHAnsi" w:hAnsiTheme="majorHAnsi" w:cstheme="majorHAnsi"/>
                <w:i/>
                <w:iCs/>
                <w:szCs w:val="24"/>
              </w:rPr>
              <w:t xml:space="preserve"> </w:t>
            </w:r>
            <w:proofErr w:type="spellStart"/>
            <w:r w:rsidRPr="006E1E85">
              <w:rPr>
                <w:rFonts w:asciiTheme="majorHAnsi" w:hAnsiTheme="majorHAnsi" w:cstheme="majorHAnsi"/>
                <w:i/>
                <w:iCs/>
                <w:szCs w:val="24"/>
              </w:rPr>
              <w:t>Bersama</w:t>
            </w:r>
            <w:proofErr w:type="spellEnd"/>
            <w:r w:rsidRPr="006E1E85">
              <w:rPr>
                <w:rFonts w:asciiTheme="majorHAnsi" w:hAnsiTheme="majorHAnsi" w:cstheme="majorHAnsi"/>
                <w:szCs w:val="24"/>
              </w:rPr>
              <w:t xml:space="preserve"> – </w:t>
            </w:r>
            <w:r w:rsidRPr="006E1E85">
              <w:rPr>
                <w:rFonts w:asciiTheme="majorHAnsi" w:hAnsiTheme="majorHAnsi" w:cstheme="majorHAnsi"/>
                <w:i/>
                <w:iCs/>
                <w:szCs w:val="24"/>
              </w:rPr>
              <w:t>Working Together</w:t>
            </w:r>
          </w:p>
        </w:tc>
        <w:tc>
          <w:tcPr>
            <w:tcW w:w="0" w:type="auto"/>
            <w:hideMark/>
          </w:tcPr>
          <w:p w:rsidR="00E64D0D" w:rsidRPr="006E1E85" w:rsidRDefault="00E64D0D" w:rsidP="00F31649">
            <w:pPr>
              <w:ind w:left="0" w:hanging="2"/>
              <w:rPr>
                <w:rFonts w:asciiTheme="majorHAnsi" w:hAnsiTheme="majorHAnsi" w:cstheme="majorHAnsi"/>
                <w:szCs w:val="24"/>
              </w:rPr>
            </w:pPr>
            <w:r w:rsidRPr="006E1E85">
              <w:rPr>
                <w:rFonts w:asciiTheme="majorHAnsi" w:hAnsiTheme="majorHAnsi" w:cstheme="majorHAnsi"/>
                <w:szCs w:val="24"/>
              </w:rPr>
              <w:t>Declarative (elliptical)</w:t>
            </w:r>
          </w:p>
        </w:tc>
        <w:tc>
          <w:tcPr>
            <w:tcW w:w="0" w:type="auto"/>
            <w:hideMark/>
          </w:tcPr>
          <w:p w:rsidR="00E64D0D" w:rsidRPr="006E1E85" w:rsidRDefault="00E64D0D" w:rsidP="00F31649">
            <w:pPr>
              <w:ind w:left="0" w:hanging="2"/>
              <w:rPr>
                <w:rFonts w:asciiTheme="majorHAnsi" w:hAnsiTheme="majorHAnsi" w:cstheme="majorHAnsi"/>
                <w:szCs w:val="24"/>
              </w:rPr>
            </w:pPr>
            <w:r w:rsidRPr="006E1E85">
              <w:rPr>
                <w:rFonts w:asciiTheme="majorHAnsi" w:hAnsiTheme="majorHAnsi" w:cstheme="majorHAnsi"/>
                <w:szCs w:val="24"/>
              </w:rPr>
              <w:t>Implicit high inclination</w:t>
            </w:r>
          </w:p>
        </w:tc>
        <w:tc>
          <w:tcPr>
            <w:tcW w:w="0" w:type="auto"/>
            <w:hideMark/>
          </w:tcPr>
          <w:p w:rsidR="00E64D0D" w:rsidRPr="006E1E85" w:rsidRDefault="00E64D0D" w:rsidP="00F31649">
            <w:pPr>
              <w:ind w:left="0" w:hanging="2"/>
              <w:rPr>
                <w:rFonts w:asciiTheme="majorHAnsi" w:hAnsiTheme="majorHAnsi" w:cstheme="majorHAnsi"/>
                <w:szCs w:val="24"/>
              </w:rPr>
            </w:pPr>
            <w:r w:rsidRPr="006E1E85">
              <w:rPr>
                <w:rFonts w:asciiTheme="majorHAnsi" w:hAnsiTheme="majorHAnsi" w:cstheme="majorHAnsi"/>
                <w:szCs w:val="24"/>
              </w:rPr>
              <w:t>Implicit “we”</w:t>
            </w:r>
          </w:p>
        </w:tc>
        <w:tc>
          <w:tcPr>
            <w:tcW w:w="0" w:type="auto"/>
            <w:hideMark/>
          </w:tcPr>
          <w:p w:rsidR="00E64D0D" w:rsidRPr="006E1E85" w:rsidRDefault="00E64D0D" w:rsidP="00F31649">
            <w:pPr>
              <w:ind w:left="0" w:hanging="2"/>
              <w:rPr>
                <w:rFonts w:asciiTheme="majorHAnsi" w:hAnsiTheme="majorHAnsi" w:cstheme="majorHAnsi"/>
                <w:szCs w:val="24"/>
              </w:rPr>
            </w:pPr>
            <w:r w:rsidRPr="006E1E85">
              <w:rPr>
                <w:rFonts w:asciiTheme="majorHAnsi" w:hAnsiTheme="majorHAnsi" w:cstheme="majorHAnsi"/>
                <w:szCs w:val="24"/>
              </w:rPr>
              <w:t>Inclusive, cooperative</w:t>
            </w:r>
          </w:p>
        </w:tc>
        <w:tc>
          <w:tcPr>
            <w:tcW w:w="1803" w:type="dxa"/>
            <w:hideMark/>
          </w:tcPr>
          <w:p w:rsidR="00E64D0D" w:rsidRPr="006E1E85" w:rsidRDefault="00E64D0D" w:rsidP="00F31649">
            <w:pPr>
              <w:ind w:left="0" w:hanging="2"/>
              <w:rPr>
                <w:rFonts w:asciiTheme="majorHAnsi" w:hAnsiTheme="majorHAnsi" w:cstheme="majorHAnsi"/>
                <w:szCs w:val="24"/>
              </w:rPr>
            </w:pPr>
            <w:r w:rsidRPr="006E1E85">
              <w:rPr>
                <w:rFonts w:asciiTheme="majorHAnsi" w:hAnsiTheme="majorHAnsi" w:cstheme="majorHAnsi"/>
                <w:szCs w:val="24"/>
              </w:rPr>
              <w:t>Stresses unity and collaboration; minimizes hierarchy between leaders and citizens.</w:t>
            </w:r>
          </w:p>
        </w:tc>
      </w:tr>
      <w:tr w:rsidR="00E64D0D" w:rsidRPr="006E1E85" w:rsidTr="00877F28">
        <w:tc>
          <w:tcPr>
            <w:tcW w:w="0" w:type="auto"/>
            <w:hideMark/>
          </w:tcPr>
          <w:p w:rsidR="00E64D0D" w:rsidRPr="006E1E85" w:rsidRDefault="00E64D0D" w:rsidP="00F31649">
            <w:pPr>
              <w:ind w:left="0" w:hanging="2"/>
              <w:rPr>
                <w:rFonts w:asciiTheme="majorHAnsi" w:hAnsiTheme="majorHAnsi" w:cstheme="majorHAnsi"/>
                <w:szCs w:val="24"/>
              </w:rPr>
            </w:pPr>
            <w:r w:rsidRPr="006E1E85">
              <w:rPr>
                <w:rFonts w:asciiTheme="majorHAnsi" w:hAnsiTheme="majorHAnsi" w:cstheme="majorHAnsi"/>
                <w:b/>
                <w:bCs/>
                <w:szCs w:val="24"/>
              </w:rPr>
              <w:t>73</w:t>
            </w:r>
            <w:r w:rsidRPr="006E1E85">
              <w:rPr>
                <w:rFonts w:asciiTheme="majorHAnsi" w:hAnsiTheme="majorHAnsi" w:cstheme="majorHAnsi"/>
                <w:b/>
                <w:bCs/>
                <w:szCs w:val="24"/>
                <w:vertAlign w:val="superscript"/>
              </w:rPr>
              <w:t>rd</w:t>
            </w:r>
            <w:r w:rsidRPr="006E1E85">
              <w:rPr>
                <w:rFonts w:asciiTheme="majorHAnsi" w:hAnsiTheme="majorHAnsi" w:cstheme="majorHAnsi"/>
                <w:b/>
                <w:bCs/>
                <w:szCs w:val="24"/>
              </w:rPr>
              <w:t xml:space="preserve"> (2018)</w:t>
            </w:r>
          </w:p>
        </w:tc>
        <w:tc>
          <w:tcPr>
            <w:tcW w:w="0" w:type="auto"/>
            <w:hideMark/>
          </w:tcPr>
          <w:p w:rsidR="00E64D0D" w:rsidRPr="006E1E85" w:rsidRDefault="00E64D0D" w:rsidP="00F31649">
            <w:pPr>
              <w:ind w:left="0" w:hanging="2"/>
              <w:rPr>
                <w:rFonts w:asciiTheme="majorHAnsi" w:hAnsiTheme="majorHAnsi" w:cstheme="majorHAnsi"/>
                <w:szCs w:val="24"/>
              </w:rPr>
            </w:pPr>
            <w:proofErr w:type="spellStart"/>
            <w:r w:rsidRPr="006E1E85">
              <w:rPr>
                <w:rFonts w:asciiTheme="majorHAnsi" w:hAnsiTheme="majorHAnsi" w:cstheme="majorHAnsi"/>
                <w:i/>
                <w:iCs/>
                <w:szCs w:val="24"/>
              </w:rPr>
              <w:t>Kerja</w:t>
            </w:r>
            <w:proofErr w:type="spellEnd"/>
            <w:r w:rsidRPr="006E1E85">
              <w:rPr>
                <w:rFonts w:asciiTheme="majorHAnsi" w:hAnsiTheme="majorHAnsi" w:cstheme="majorHAnsi"/>
                <w:i/>
                <w:iCs/>
                <w:szCs w:val="24"/>
              </w:rPr>
              <w:t xml:space="preserve"> Kita, </w:t>
            </w:r>
            <w:proofErr w:type="spellStart"/>
            <w:r w:rsidRPr="006E1E85">
              <w:rPr>
                <w:rFonts w:asciiTheme="majorHAnsi" w:hAnsiTheme="majorHAnsi" w:cstheme="majorHAnsi"/>
                <w:i/>
                <w:iCs/>
                <w:szCs w:val="24"/>
              </w:rPr>
              <w:t>Prestasi</w:t>
            </w:r>
            <w:proofErr w:type="spellEnd"/>
            <w:r w:rsidRPr="006E1E85">
              <w:rPr>
                <w:rFonts w:asciiTheme="majorHAnsi" w:hAnsiTheme="majorHAnsi" w:cstheme="majorHAnsi"/>
                <w:i/>
                <w:iCs/>
                <w:szCs w:val="24"/>
              </w:rPr>
              <w:t xml:space="preserve"> </w:t>
            </w:r>
            <w:proofErr w:type="spellStart"/>
            <w:r w:rsidRPr="006E1E85">
              <w:rPr>
                <w:rFonts w:asciiTheme="majorHAnsi" w:hAnsiTheme="majorHAnsi" w:cstheme="majorHAnsi"/>
                <w:i/>
                <w:iCs/>
                <w:szCs w:val="24"/>
              </w:rPr>
              <w:t>Bangsa</w:t>
            </w:r>
            <w:proofErr w:type="spellEnd"/>
            <w:r w:rsidRPr="006E1E85">
              <w:rPr>
                <w:rFonts w:asciiTheme="majorHAnsi" w:hAnsiTheme="majorHAnsi" w:cstheme="majorHAnsi"/>
                <w:szCs w:val="24"/>
              </w:rPr>
              <w:t xml:space="preserve"> – </w:t>
            </w:r>
            <w:r w:rsidRPr="006E1E85">
              <w:rPr>
                <w:rFonts w:asciiTheme="majorHAnsi" w:hAnsiTheme="majorHAnsi" w:cstheme="majorHAnsi"/>
                <w:i/>
                <w:iCs/>
                <w:szCs w:val="24"/>
              </w:rPr>
              <w:t>Our Work, Achievement of the Nation</w:t>
            </w:r>
          </w:p>
        </w:tc>
        <w:tc>
          <w:tcPr>
            <w:tcW w:w="0" w:type="auto"/>
            <w:hideMark/>
          </w:tcPr>
          <w:p w:rsidR="00E64D0D" w:rsidRPr="006E1E85" w:rsidRDefault="00E64D0D" w:rsidP="00F31649">
            <w:pPr>
              <w:ind w:left="0" w:hanging="2"/>
              <w:rPr>
                <w:rFonts w:asciiTheme="majorHAnsi" w:hAnsiTheme="majorHAnsi" w:cstheme="majorHAnsi"/>
                <w:szCs w:val="24"/>
              </w:rPr>
            </w:pPr>
            <w:r w:rsidRPr="006E1E85">
              <w:rPr>
                <w:rFonts w:asciiTheme="majorHAnsi" w:hAnsiTheme="majorHAnsi" w:cstheme="majorHAnsi"/>
                <w:szCs w:val="24"/>
              </w:rPr>
              <w:t>Declarative</w:t>
            </w:r>
          </w:p>
        </w:tc>
        <w:tc>
          <w:tcPr>
            <w:tcW w:w="0" w:type="auto"/>
            <w:hideMark/>
          </w:tcPr>
          <w:p w:rsidR="00E64D0D" w:rsidRPr="006E1E85" w:rsidRDefault="00E64D0D" w:rsidP="00F31649">
            <w:pPr>
              <w:ind w:left="0" w:hanging="2"/>
              <w:rPr>
                <w:rFonts w:asciiTheme="majorHAnsi" w:hAnsiTheme="majorHAnsi" w:cstheme="majorHAnsi"/>
                <w:szCs w:val="24"/>
              </w:rPr>
            </w:pPr>
            <w:r w:rsidRPr="006E1E85">
              <w:rPr>
                <w:rFonts w:asciiTheme="majorHAnsi" w:hAnsiTheme="majorHAnsi" w:cstheme="majorHAnsi"/>
                <w:szCs w:val="24"/>
              </w:rPr>
              <w:t>High certainty</w:t>
            </w:r>
          </w:p>
        </w:tc>
        <w:tc>
          <w:tcPr>
            <w:tcW w:w="0" w:type="auto"/>
            <w:hideMark/>
          </w:tcPr>
          <w:p w:rsidR="00E64D0D" w:rsidRPr="006E1E85" w:rsidRDefault="00E64D0D" w:rsidP="00F31649">
            <w:pPr>
              <w:ind w:left="0" w:hanging="2"/>
              <w:rPr>
                <w:rFonts w:asciiTheme="majorHAnsi" w:hAnsiTheme="majorHAnsi" w:cstheme="majorHAnsi"/>
                <w:szCs w:val="24"/>
              </w:rPr>
            </w:pPr>
            <w:r w:rsidRPr="006E1E85">
              <w:rPr>
                <w:rFonts w:asciiTheme="majorHAnsi" w:hAnsiTheme="majorHAnsi" w:cstheme="majorHAnsi"/>
                <w:szCs w:val="24"/>
              </w:rPr>
              <w:t>Explicit “</w:t>
            </w:r>
            <w:proofErr w:type="spellStart"/>
            <w:r w:rsidRPr="006E1E85">
              <w:rPr>
                <w:rFonts w:asciiTheme="majorHAnsi" w:hAnsiTheme="majorHAnsi" w:cstheme="majorHAnsi"/>
                <w:szCs w:val="24"/>
              </w:rPr>
              <w:t>kita</w:t>
            </w:r>
            <w:proofErr w:type="spellEnd"/>
            <w:r w:rsidRPr="006E1E85">
              <w:rPr>
                <w:rFonts w:asciiTheme="majorHAnsi" w:hAnsiTheme="majorHAnsi" w:cstheme="majorHAnsi"/>
                <w:szCs w:val="24"/>
              </w:rPr>
              <w:t>” (our)</w:t>
            </w:r>
          </w:p>
        </w:tc>
        <w:tc>
          <w:tcPr>
            <w:tcW w:w="0" w:type="auto"/>
            <w:hideMark/>
          </w:tcPr>
          <w:p w:rsidR="00E64D0D" w:rsidRPr="006E1E85" w:rsidRDefault="00E64D0D" w:rsidP="00F31649">
            <w:pPr>
              <w:ind w:left="0" w:hanging="2"/>
              <w:rPr>
                <w:rFonts w:asciiTheme="majorHAnsi" w:hAnsiTheme="majorHAnsi" w:cstheme="majorHAnsi"/>
                <w:szCs w:val="24"/>
              </w:rPr>
            </w:pPr>
            <w:r w:rsidRPr="006E1E85">
              <w:rPr>
                <w:rFonts w:asciiTheme="majorHAnsi" w:hAnsiTheme="majorHAnsi" w:cstheme="majorHAnsi"/>
                <w:szCs w:val="24"/>
              </w:rPr>
              <w:t>Positive appreciation</w:t>
            </w:r>
          </w:p>
        </w:tc>
        <w:tc>
          <w:tcPr>
            <w:tcW w:w="1803" w:type="dxa"/>
            <w:hideMark/>
          </w:tcPr>
          <w:p w:rsidR="00E64D0D" w:rsidRPr="006E1E85" w:rsidRDefault="00E64D0D" w:rsidP="00F31649">
            <w:pPr>
              <w:ind w:left="0" w:hanging="2"/>
              <w:rPr>
                <w:rFonts w:asciiTheme="majorHAnsi" w:hAnsiTheme="majorHAnsi" w:cstheme="majorHAnsi"/>
                <w:szCs w:val="24"/>
              </w:rPr>
            </w:pPr>
            <w:r w:rsidRPr="006E1E85">
              <w:rPr>
                <w:rFonts w:asciiTheme="majorHAnsi" w:hAnsiTheme="majorHAnsi" w:cstheme="majorHAnsi"/>
                <w:szCs w:val="24"/>
              </w:rPr>
              <w:t>Links collective effort with national achievement; emphasizes shared ownership.</w:t>
            </w:r>
          </w:p>
        </w:tc>
      </w:tr>
      <w:tr w:rsidR="00E64D0D" w:rsidRPr="006E1E85" w:rsidTr="00877F28">
        <w:tc>
          <w:tcPr>
            <w:tcW w:w="0" w:type="auto"/>
            <w:hideMark/>
          </w:tcPr>
          <w:p w:rsidR="00E64D0D" w:rsidRPr="006E1E85" w:rsidRDefault="00E64D0D" w:rsidP="00F31649">
            <w:pPr>
              <w:ind w:left="0" w:hanging="2"/>
              <w:rPr>
                <w:rFonts w:asciiTheme="majorHAnsi" w:hAnsiTheme="majorHAnsi" w:cstheme="majorHAnsi"/>
                <w:szCs w:val="24"/>
              </w:rPr>
            </w:pPr>
            <w:r w:rsidRPr="006E1E85">
              <w:rPr>
                <w:rFonts w:asciiTheme="majorHAnsi" w:hAnsiTheme="majorHAnsi" w:cstheme="majorHAnsi"/>
                <w:b/>
                <w:bCs/>
                <w:szCs w:val="24"/>
              </w:rPr>
              <w:t>74</w:t>
            </w:r>
            <w:r w:rsidRPr="006E1E85">
              <w:rPr>
                <w:rFonts w:asciiTheme="majorHAnsi" w:hAnsiTheme="majorHAnsi" w:cstheme="majorHAnsi"/>
                <w:b/>
                <w:bCs/>
                <w:szCs w:val="24"/>
                <w:vertAlign w:val="superscript"/>
              </w:rPr>
              <w:t>th</w:t>
            </w:r>
            <w:r w:rsidRPr="006E1E85">
              <w:rPr>
                <w:rFonts w:asciiTheme="majorHAnsi" w:hAnsiTheme="majorHAnsi" w:cstheme="majorHAnsi"/>
                <w:b/>
                <w:bCs/>
                <w:szCs w:val="24"/>
              </w:rPr>
              <w:t xml:space="preserve"> (2019)</w:t>
            </w:r>
          </w:p>
        </w:tc>
        <w:tc>
          <w:tcPr>
            <w:tcW w:w="0" w:type="auto"/>
            <w:hideMark/>
          </w:tcPr>
          <w:p w:rsidR="00E64D0D" w:rsidRPr="006E1E85" w:rsidRDefault="00E64D0D" w:rsidP="00F31649">
            <w:pPr>
              <w:ind w:left="0" w:hanging="2"/>
              <w:rPr>
                <w:rFonts w:asciiTheme="majorHAnsi" w:hAnsiTheme="majorHAnsi" w:cstheme="majorHAnsi"/>
                <w:szCs w:val="24"/>
              </w:rPr>
            </w:pPr>
            <w:r w:rsidRPr="006E1E85">
              <w:rPr>
                <w:rFonts w:asciiTheme="majorHAnsi" w:hAnsiTheme="majorHAnsi" w:cstheme="majorHAnsi"/>
                <w:i/>
                <w:iCs/>
                <w:szCs w:val="24"/>
              </w:rPr>
              <w:t xml:space="preserve">SDM </w:t>
            </w:r>
            <w:proofErr w:type="spellStart"/>
            <w:r w:rsidRPr="006E1E85">
              <w:rPr>
                <w:rFonts w:asciiTheme="majorHAnsi" w:hAnsiTheme="majorHAnsi" w:cstheme="majorHAnsi"/>
                <w:i/>
                <w:iCs/>
                <w:szCs w:val="24"/>
              </w:rPr>
              <w:t>Unggul</w:t>
            </w:r>
            <w:proofErr w:type="spellEnd"/>
            <w:r w:rsidRPr="006E1E85">
              <w:rPr>
                <w:rFonts w:asciiTheme="majorHAnsi" w:hAnsiTheme="majorHAnsi" w:cstheme="majorHAnsi"/>
                <w:i/>
                <w:iCs/>
                <w:szCs w:val="24"/>
              </w:rPr>
              <w:t xml:space="preserve">, Indonesia </w:t>
            </w:r>
            <w:proofErr w:type="spellStart"/>
            <w:r w:rsidRPr="006E1E85">
              <w:rPr>
                <w:rFonts w:asciiTheme="majorHAnsi" w:hAnsiTheme="majorHAnsi" w:cstheme="majorHAnsi"/>
                <w:i/>
                <w:iCs/>
                <w:szCs w:val="24"/>
              </w:rPr>
              <w:t>Maju</w:t>
            </w:r>
            <w:proofErr w:type="spellEnd"/>
            <w:r w:rsidRPr="006E1E85">
              <w:rPr>
                <w:rFonts w:asciiTheme="majorHAnsi" w:hAnsiTheme="majorHAnsi" w:cstheme="majorHAnsi"/>
                <w:szCs w:val="24"/>
              </w:rPr>
              <w:t xml:space="preserve"> – </w:t>
            </w:r>
            <w:r w:rsidRPr="006E1E85">
              <w:rPr>
                <w:rFonts w:asciiTheme="majorHAnsi" w:hAnsiTheme="majorHAnsi" w:cstheme="majorHAnsi"/>
                <w:i/>
                <w:iCs/>
                <w:szCs w:val="24"/>
              </w:rPr>
              <w:t>Superior Human Resources, an Advanced Indonesia</w:t>
            </w:r>
          </w:p>
        </w:tc>
        <w:tc>
          <w:tcPr>
            <w:tcW w:w="0" w:type="auto"/>
            <w:hideMark/>
          </w:tcPr>
          <w:p w:rsidR="00E64D0D" w:rsidRPr="006E1E85" w:rsidRDefault="00E64D0D" w:rsidP="00F31649">
            <w:pPr>
              <w:ind w:left="0" w:hanging="2"/>
              <w:rPr>
                <w:rFonts w:asciiTheme="majorHAnsi" w:hAnsiTheme="majorHAnsi" w:cstheme="majorHAnsi"/>
                <w:szCs w:val="24"/>
              </w:rPr>
            </w:pPr>
            <w:r w:rsidRPr="006E1E85">
              <w:rPr>
                <w:rFonts w:asciiTheme="majorHAnsi" w:hAnsiTheme="majorHAnsi" w:cstheme="majorHAnsi"/>
                <w:szCs w:val="24"/>
              </w:rPr>
              <w:t>Declarative</w:t>
            </w:r>
          </w:p>
        </w:tc>
        <w:tc>
          <w:tcPr>
            <w:tcW w:w="0" w:type="auto"/>
            <w:hideMark/>
          </w:tcPr>
          <w:p w:rsidR="00E64D0D" w:rsidRPr="006E1E85" w:rsidRDefault="00E64D0D" w:rsidP="00F31649">
            <w:pPr>
              <w:ind w:left="0" w:hanging="2"/>
              <w:rPr>
                <w:rFonts w:asciiTheme="majorHAnsi" w:hAnsiTheme="majorHAnsi" w:cstheme="majorHAnsi"/>
                <w:szCs w:val="24"/>
              </w:rPr>
            </w:pPr>
            <w:r w:rsidRPr="006E1E85">
              <w:rPr>
                <w:rFonts w:asciiTheme="majorHAnsi" w:hAnsiTheme="majorHAnsi" w:cstheme="majorHAnsi"/>
                <w:szCs w:val="24"/>
              </w:rPr>
              <w:t>High certainty</w:t>
            </w:r>
          </w:p>
        </w:tc>
        <w:tc>
          <w:tcPr>
            <w:tcW w:w="0" w:type="auto"/>
            <w:hideMark/>
          </w:tcPr>
          <w:p w:rsidR="00E64D0D" w:rsidRPr="006E1E85" w:rsidRDefault="00E64D0D" w:rsidP="00F31649">
            <w:pPr>
              <w:ind w:left="0" w:hanging="2"/>
              <w:rPr>
                <w:rFonts w:asciiTheme="majorHAnsi" w:hAnsiTheme="majorHAnsi" w:cstheme="majorHAnsi"/>
                <w:szCs w:val="24"/>
              </w:rPr>
            </w:pPr>
            <w:r w:rsidRPr="006E1E85">
              <w:rPr>
                <w:rFonts w:asciiTheme="majorHAnsi" w:hAnsiTheme="majorHAnsi" w:cstheme="majorHAnsi"/>
                <w:szCs w:val="24"/>
              </w:rPr>
              <w:t>None</w:t>
            </w:r>
          </w:p>
        </w:tc>
        <w:tc>
          <w:tcPr>
            <w:tcW w:w="0" w:type="auto"/>
            <w:hideMark/>
          </w:tcPr>
          <w:p w:rsidR="00E64D0D" w:rsidRPr="006E1E85" w:rsidRDefault="00E64D0D" w:rsidP="00F31649">
            <w:pPr>
              <w:ind w:left="0" w:hanging="2"/>
              <w:rPr>
                <w:rFonts w:asciiTheme="majorHAnsi" w:hAnsiTheme="majorHAnsi" w:cstheme="majorHAnsi"/>
                <w:szCs w:val="24"/>
              </w:rPr>
            </w:pPr>
            <w:r w:rsidRPr="006E1E85">
              <w:rPr>
                <w:rFonts w:asciiTheme="majorHAnsi" w:hAnsiTheme="majorHAnsi" w:cstheme="majorHAnsi"/>
                <w:szCs w:val="24"/>
              </w:rPr>
              <w:t>Positive evaluation of citizens</w:t>
            </w:r>
          </w:p>
        </w:tc>
        <w:tc>
          <w:tcPr>
            <w:tcW w:w="1803" w:type="dxa"/>
            <w:hideMark/>
          </w:tcPr>
          <w:p w:rsidR="00E64D0D" w:rsidRPr="006E1E85" w:rsidRDefault="00E64D0D" w:rsidP="00F31649">
            <w:pPr>
              <w:ind w:left="0" w:hanging="2"/>
              <w:rPr>
                <w:rFonts w:asciiTheme="majorHAnsi" w:hAnsiTheme="majorHAnsi" w:cstheme="majorHAnsi"/>
                <w:szCs w:val="24"/>
              </w:rPr>
            </w:pPr>
            <w:r w:rsidRPr="006E1E85">
              <w:rPr>
                <w:rFonts w:asciiTheme="majorHAnsi" w:hAnsiTheme="majorHAnsi" w:cstheme="majorHAnsi"/>
                <w:szCs w:val="24"/>
              </w:rPr>
              <w:t>Positions people as central to progress; promotes ideological alignment.</w:t>
            </w:r>
          </w:p>
        </w:tc>
      </w:tr>
      <w:tr w:rsidR="00E64D0D" w:rsidRPr="006E1E85" w:rsidTr="00877F28">
        <w:tc>
          <w:tcPr>
            <w:tcW w:w="0" w:type="auto"/>
            <w:hideMark/>
          </w:tcPr>
          <w:p w:rsidR="00E64D0D" w:rsidRPr="006E1E85" w:rsidRDefault="00E64D0D" w:rsidP="00F31649">
            <w:pPr>
              <w:ind w:left="0" w:hanging="2"/>
              <w:rPr>
                <w:rFonts w:asciiTheme="majorHAnsi" w:hAnsiTheme="majorHAnsi" w:cstheme="majorHAnsi"/>
                <w:szCs w:val="24"/>
              </w:rPr>
            </w:pPr>
            <w:r w:rsidRPr="006E1E85">
              <w:rPr>
                <w:rFonts w:asciiTheme="majorHAnsi" w:hAnsiTheme="majorHAnsi" w:cstheme="majorHAnsi"/>
                <w:b/>
                <w:bCs/>
                <w:szCs w:val="24"/>
              </w:rPr>
              <w:t>75</w:t>
            </w:r>
            <w:r w:rsidRPr="006E1E85">
              <w:rPr>
                <w:rFonts w:asciiTheme="majorHAnsi" w:hAnsiTheme="majorHAnsi" w:cstheme="majorHAnsi"/>
                <w:b/>
                <w:bCs/>
                <w:szCs w:val="24"/>
                <w:vertAlign w:val="superscript"/>
              </w:rPr>
              <w:t>th</w:t>
            </w:r>
            <w:r w:rsidRPr="006E1E85">
              <w:rPr>
                <w:rFonts w:asciiTheme="majorHAnsi" w:hAnsiTheme="majorHAnsi" w:cstheme="majorHAnsi"/>
                <w:b/>
                <w:bCs/>
                <w:szCs w:val="24"/>
              </w:rPr>
              <w:t xml:space="preserve"> (2020)</w:t>
            </w:r>
          </w:p>
        </w:tc>
        <w:tc>
          <w:tcPr>
            <w:tcW w:w="0" w:type="auto"/>
            <w:hideMark/>
          </w:tcPr>
          <w:p w:rsidR="00E64D0D" w:rsidRPr="006E1E85" w:rsidRDefault="00E64D0D" w:rsidP="00F31649">
            <w:pPr>
              <w:ind w:left="0" w:hanging="2"/>
              <w:rPr>
                <w:rFonts w:asciiTheme="majorHAnsi" w:hAnsiTheme="majorHAnsi" w:cstheme="majorHAnsi"/>
                <w:szCs w:val="24"/>
              </w:rPr>
            </w:pPr>
            <w:r w:rsidRPr="006E1E85">
              <w:rPr>
                <w:rFonts w:asciiTheme="majorHAnsi" w:hAnsiTheme="majorHAnsi" w:cstheme="majorHAnsi"/>
                <w:i/>
                <w:iCs/>
                <w:szCs w:val="24"/>
              </w:rPr>
              <w:t xml:space="preserve">Indonesia </w:t>
            </w:r>
            <w:proofErr w:type="spellStart"/>
            <w:r w:rsidRPr="006E1E85">
              <w:rPr>
                <w:rFonts w:asciiTheme="majorHAnsi" w:hAnsiTheme="majorHAnsi" w:cstheme="majorHAnsi"/>
                <w:i/>
                <w:iCs/>
                <w:szCs w:val="24"/>
              </w:rPr>
              <w:t>Maju</w:t>
            </w:r>
            <w:proofErr w:type="spellEnd"/>
            <w:r w:rsidRPr="006E1E85">
              <w:rPr>
                <w:rFonts w:asciiTheme="majorHAnsi" w:hAnsiTheme="majorHAnsi" w:cstheme="majorHAnsi"/>
                <w:szCs w:val="24"/>
              </w:rPr>
              <w:t xml:space="preserve"> – </w:t>
            </w:r>
            <w:r w:rsidRPr="006E1E85">
              <w:rPr>
                <w:rFonts w:asciiTheme="majorHAnsi" w:hAnsiTheme="majorHAnsi" w:cstheme="majorHAnsi"/>
                <w:i/>
                <w:iCs/>
                <w:szCs w:val="24"/>
              </w:rPr>
              <w:t>Indonesia Advances</w:t>
            </w:r>
          </w:p>
        </w:tc>
        <w:tc>
          <w:tcPr>
            <w:tcW w:w="0" w:type="auto"/>
            <w:hideMark/>
          </w:tcPr>
          <w:p w:rsidR="00E64D0D" w:rsidRPr="006E1E85" w:rsidRDefault="00E64D0D" w:rsidP="00F31649">
            <w:pPr>
              <w:ind w:left="0" w:hanging="2"/>
              <w:rPr>
                <w:rFonts w:asciiTheme="majorHAnsi" w:hAnsiTheme="majorHAnsi" w:cstheme="majorHAnsi"/>
                <w:szCs w:val="24"/>
              </w:rPr>
            </w:pPr>
            <w:r w:rsidRPr="006E1E85">
              <w:rPr>
                <w:rFonts w:asciiTheme="majorHAnsi" w:hAnsiTheme="majorHAnsi" w:cstheme="majorHAnsi"/>
                <w:szCs w:val="24"/>
              </w:rPr>
              <w:t>Declarative</w:t>
            </w:r>
          </w:p>
        </w:tc>
        <w:tc>
          <w:tcPr>
            <w:tcW w:w="0" w:type="auto"/>
            <w:hideMark/>
          </w:tcPr>
          <w:p w:rsidR="00E64D0D" w:rsidRPr="006E1E85" w:rsidRDefault="00E64D0D" w:rsidP="00F31649">
            <w:pPr>
              <w:ind w:left="0" w:hanging="2"/>
              <w:rPr>
                <w:rFonts w:asciiTheme="majorHAnsi" w:hAnsiTheme="majorHAnsi" w:cstheme="majorHAnsi"/>
                <w:szCs w:val="24"/>
              </w:rPr>
            </w:pPr>
            <w:r w:rsidRPr="006E1E85">
              <w:rPr>
                <w:rFonts w:asciiTheme="majorHAnsi" w:hAnsiTheme="majorHAnsi" w:cstheme="majorHAnsi"/>
                <w:szCs w:val="24"/>
              </w:rPr>
              <w:t>Absolute assertion</w:t>
            </w:r>
          </w:p>
        </w:tc>
        <w:tc>
          <w:tcPr>
            <w:tcW w:w="0" w:type="auto"/>
            <w:hideMark/>
          </w:tcPr>
          <w:p w:rsidR="00E64D0D" w:rsidRPr="006E1E85" w:rsidRDefault="00E64D0D" w:rsidP="00F31649">
            <w:pPr>
              <w:ind w:left="0" w:hanging="2"/>
              <w:rPr>
                <w:rFonts w:asciiTheme="majorHAnsi" w:hAnsiTheme="majorHAnsi" w:cstheme="majorHAnsi"/>
                <w:szCs w:val="24"/>
              </w:rPr>
            </w:pPr>
            <w:r w:rsidRPr="006E1E85">
              <w:rPr>
                <w:rFonts w:asciiTheme="majorHAnsi" w:hAnsiTheme="majorHAnsi" w:cstheme="majorHAnsi"/>
                <w:szCs w:val="24"/>
              </w:rPr>
              <w:t>None (nation as subject)</w:t>
            </w:r>
          </w:p>
        </w:tc>
        <w:tc>
          <w:tcPr>
            <w:tcW w:w="0" w:type="auto"/>
            <w:hideMark/>
          </w:tcPr>
          <w:p w:rsidR="00E64D0D" w:rsidRPr="006E1E85" w:rsidRDefault="00E64D0D" w:rsidP="00F31649">
            <w:pPr>
              <w:ind w:left="0" w:hanging="2"/>
              <w:rPr>
                <w:rFonts w:asciiTheme="majorHAnsi" w:hAnsiTheme="majorHAnsi" w:cstheme="majorHAnsi"/>
                <w:szCs w:val="24"/>
              </w:rPr>
            </w:pPr>
            <w:r w:rsidRPr="006E1E85">
              <w:rPr>
                <w:rFonts w:asciiTheme="majorHAnsi" w:hAnsiTheme="majorHAnsi" w:cstheme="majorHAnsi"/>
                <w:szCs w:val="24"/>
              </w:rPr>
              <w:t>Optimistic, forward-looking</w:t>
            </w:r>
          </w:p>
        </w:tc>
        <w:tc>
          <w:tcPr>
            <w:tcW w:w="1803" w:type="dxa"/>
            <w:hideMark/>
          </w:tcPr>
          <w:p w:rsidR="00E64D0D" w:rsidRPr="006E1E85" w:rsidRDefault="00E64D0D" w:rsidP="00F31649">
            <w:pPr>
              <w:ind w:left="0" w:hanging="2"/>
              <w:rPr>
                <w:rFonts w:asciiTheme="majorHAnsi" w:hAnsiTheme="majorHAnsi" w:cstheme="majorHAnsi"/>
                <w:szCs w:val="24"/>
              </w:rPr>
            </w:pPr>
            <w:r w:rsidRPr="006E1E85">
              <w:rPr>
                <w:rFonts w:asciiTheme="majorHAnsi" w:hAnsiTheme="majorHAnsi" w:cstheme="majorHAnsi"/>
                <w:szCs w:val="24"/>
              </w:rPr>
              <w:t>Reinforces national pride and confidence; solidarity through identification with “Indonesia.”</w:t>
            </w:r>
          </w:p>
        </w:tc>
      </w:tr>
      <w:tr w:rsidR="00E64D0D" w:rsidRPr="006E1E85" w:rsidTr="00877F28">
        <w:tc>
          <w:tcPr>
            <w:tcW w:w="0" w:type="auto"/>
            <w:hideMark/>
          </w:tcPr>
          <w:p w:rsidR="00E64D0D" w:rsidRPr="006E1E85" w:rsidRDefault="00E64D0D" w:rsidP="00F31649">
            <w:pPr>
              <w:ind w:left="0" w:hanging="2"/>
              <w:rPr>
                <w:rFonts w:asciiTheme="majorHAnsi" w:hAnsiTheme="majorHAnsi" w:cstheme="majorHAnsi"/>
                <w:szCs w:val="24"/>
              </w:rPr>
            </w:pPr>
            <w:r w:rsidRPr="006E1E85">
              <w:rPr>
                <w:rFonts w:asciiTheme="majorHAnsi" w:hAnsiTheme="majorHAnsi" w:cstheme="majorHAnsi"/>
                <w:b/>
                <w:bCs/>
                <w:szCs w:val="24"/>
              </w:rPr>
              <w:t>76</w:t>
            </w:r>
            <w:r w:rsidRPr="006E1E85">
              <w:rPr>
                <w:rFonts w:asciiTheme="majorHAnsi" w:hAnsiTheme="majorHAnsi" w:cstheme="majorHAnsi"/>
                <w:b/>
                <w:bCs/>
                <w:szCs w:val="24"/>
                <w:vertAlign w:val="superscript"/>
              </w:rPr>
              <w:t>th</w:t>
            </w:r>
            <w:r w:rsidRPr="006E1E85">
              <w:rPr>
                <w:rFonts w:asciiTheme="majorHAnsi" w:hAnsiTheme="majorHAnsi" w:cstheme="majorHAnsi"/>
                <w:b/>
                <w:bCs/>
                <w:szCs w:val="24"/>
              </w:rPr>
              <w:t xml:space="preserve"> (2021)</w:t>
            </w:r>
          </w:p>
        </w:tc>
        <w:tc>
          <w:tcPr>
            <w:tcW w:w="0" w:type="auto"/>
            <w:hideMark/>
          </w:tcPr>
          <w:p w:rsidR="00E64D0D" w:rsidRPr="006E1E85" w:rsidRDefault="00E64D0D" w:rsidP="00F31649">
            <w:pPr>
              <w:ind w:left="0" w:hanging="2"/>
              <w:rPr>
                <w:rFonts w:asciiTheme="majorHAnsi" w:hAnsiTheme="majorHAnsi" w:cstheme="majorHAnsi"/>
                <w:szCs w:val="24"/>
              </w:rPr>
            </w:pPr>
            <w:r w:rsidRPr="006E1E85">
              <w:rPr>
                <w:rFonts w:asciiTheme="majorHAnsi" w:hAnsiTheme="majorHAnsi" w:cstheme="majorHAnsi"/>
                <w:i/>
                <w:iCs/>
                <w:szCs w:val="24"/>
              </w:rPr>
              <w:t xml:space="preserve">Indonesia </w:t>
            </w:r>
            <w:proofErr w:type="spellStart"/>
            <w:r w:rsidRPr="006E1E85">
              <w:rPr>
                <w:rFonts w:asciiTheme="majorHAnsi" w:hAnsiTheme="majorHAnsi" w:cstheme="majorHAnsi"/>
                <w:i/>
                <w:iCs/>
                <w:szCs w:val="24"/>
              </w:rPr>
              <w:t>Tangguh</w:t>
            </w:r>
            <w:proofErr w:type="spellEnd"/>
            <w:r w:rsidRPr="006E1E85">
              <w:rPr>
                <w:rFonts w:asciiTheme="majorHAnsi" w:hAnsiTheme="majorHAnsi" w:cstheme="majorHAnsi"/>
                <w:i/>
                <w:iCs/>
                <w:szCs w:val="24"/>
              </w:rPr>
              <w:t xml:space="preserve">, Indonesia </w:t>
            </w:r>
            <w:proofErr w:type="spellStart"/>
            <w:r w:rsidRPr="006E1E85">
              <w:rPr>
                <w:rFonts w:asciiTheme="majorHAnsi" w:hAnsiTheme="majorHAnsi" w:cstheme="majorHAnsi"/>
                <w:i/>
                <w:iCs/>
                <w:szCs w:val="24"/>
              </w:rPr>
              <w:t>Tumbuh</w:t>
            </w:r>
            <w:proofErr w:type="spellEnd"/>
            <w:r w:rsidRPr="006E1E85">
              <w:rPr>
                <w:rFonts w:asciiTheme="majorHAnsi" w:hAnsiTheme="majorHAnsi" w:cstheme="majorHAnsi"/>
                <w:szCs w:val="24"/>
              </w:rPr>
              <w:t xml:space="preserve"> – </w:t>
            </w:r>
            <w:r w:rsidRPr="006E1E85">
              <w:rPr>
                <w:rFonts w:asciiTheme="majorHAnsi" w:hAnsiTheme="majorHAnsi" w:cstheme="majorHAnsi"/>
                <w:i/>
                <w:iCs/>
                <w:szCs w:val="24"/>
              </w:rPr>
              <w:t>Tough Indonesia, Growing Indonesia</w:t>
            </w:r>
          </w:p>
        </w:tc>
        <w:tc>
          <w:tcPr>
            <w:tcW w:w="0" w:type="auto"/>
            <w:hideMark/>
          </w:tcPr>
          <w:p w:rsidR="00E64D0D" w:rsidRPr="006E1E85" w:rsidRDefault="00E64D0D" w:rsidP="00F31649">
            <w:pPr>
              <w:ind w:left="0" w:hanging="2"/>
              <w:rPr>
                <w:rFonts w:asciiTheme="majorHAnsi" w:hAnsiTheme="majorHAnsi" w:cstheme="majorHAnsi"/>
                <w:szCs w:val="24"/>
              </w:rPr>
            </w:pPr>
            <w:r w:rsidRPr="006E1E85">
              <w:rPr>
                <w:rFonts w:asciiTheme="majorHAnsi" w:hAnsiTheme="majorHAnsi" w:cstheme="majorHAnsi"/>
                <w:szCs w:val="24"/>
              </w:rPr>
              <w:t>Declarative</w:t>
            </w:r>
          </w:p>
        </w:tc>
        <w:tc>
          <w:tcPr>
            <w:tcW w:w="0" w:type="auto"/>
            <w:hideMark/>
          </w:tcPr>
          <w:p w:rsidR="00E64D0D" w:rsidRPr="006E1E85" w:rsidRDefault="00E64D0D" w:rsidP="00F31649">
            <w:pPr>
              <w:ind w:left="0" w:hanging="2"/>
              <w:rPr>
                <w:rFonts w:asciiTheme="majorHAnsi" w:hAnsiTheme="majorHAnsi" w:cstheme="majorHAnsi"/>
                <w:szCs w:val="24"/>
              </w:rPr>
            </w:pPr>
            <w:r w:rsidRPr="006E1E85">
              <w:rPr>
                <w:rFonts w:asciiTheme="majorHAnsi" w:hAnsiTheme="majorHAnsi" w:cstheme="majorHAnsi"/>
                <w:szCs w:val="24"/>
              </w:rPr>
              <w:t>High certainty</w:t>
            </w:r>
          </w:p>
        </w:tc>
        <w:tc>
          <w:tcPr>
            <w:tcW w:w="0" w:type="auto"/>
            <w:hideMark/>
          </w:tcPr>
          <w:p w:rsidR="00E64D0D" w:rsidRPr="006E1E85" w:rsidRDefault="00E64D0D" w:rsidP="00F31649">
            <w:pPr>
              <w:ind w:left="0" w:hanging="2"/>
              <w:rPr>
                <w:rFonts w:asciiTheme="majorHAnsi" w:hAnsiTheme="majorHAnsi" w:cstheme="majorHAnsi"/>
                <w:szCs w:val="24"/>
              </w:rPr>
            </w:pPr>
            <w:r w:rsidRPr="006E1E85">
              <w:rPr>
                <w:rFonts w:asciiTheme="majorHAnsi" w:hAnsiTheme="majorHAnsi" w:cstheme="majorHAnsi"/>
                <w:szCs w:val="24"/>
              </w:rPr>
              <w:t>None</w:t>
            </w:r>
          </w:p>
        </w:tc>
        <w:tc>
          <w:tcPr>
            <w:tcW w:w="0" w:type="auto"/>
            <w:hideMark/>
          </w:tcPr>
          <w:p w:rsidR="00E64D0D" w:rsidRPr="006E1E85" w:rsidRDefault="00E64D0D" w:rsidP="00F31649">
            <w:pPr>
              <w:ind w:left="0" w:hanging="2"/>
              <w:rPr>
                <w:rFonts w:asciiTheme="majorHAnsi" w:hAnsiTheme="majorHAnsi" w:cstheme="majorHAnsi"/>
                <w:szCs w:val="24"/>
              </w:rPr>
            </w:pPr>
            <w:r w:rsidRPr="006E1E85">
              <w:rPr>
                <w:rFonts w:asciiTheme="majorHAnsi" w:hAnsiTheme="majorHAnsi" w:cstheme="majorHAnsi"/>
                <w:szCs w:val="24"/>
              </w:rPr>
              <w:t>Resilience, optimism</w:t>
            </w:r>
          </w:p>
        </w:tc>
        <w:tc>
          <w:tcPr>
            <w:tcW w:w="1803" w:type="dxa"/>
            <w:hideMark/>
          </w:tcPr>
          <w:p w:rsidR="00E64D0D" w:rsidRPr="006E1E85" w:rsidRDefault="00E64D0D" w:rsidP="00F31649">
            <w:pPr>
              <w:ind w:left="0" w:hanging="2"/>
              <w:rPr>
                <w:rFonts w:asciiTheme="majorHAnsi" w:hAnsiTheme="majorHAnsi" w:cstheme="majorHAnsi"/>
                <w:szCs w:val="24"/>
              </w:rPr>
            </w:pPr>
            <w:r w:rsidRPr="006E1E85">
              <w:rPr>
                <w:rFonts w:asciiTheme="majorHAnsi" w:hAnsiTheme="majorHAnsi" w:cstheme="majorHAnsi"/>
                <w:szCs w:val="24"/>
              </w:rPr>
              <w:t>Personifies the nation; conveys strength and optimism post-crisis.</w:t>
            </w:r>
          </w:p>
        </w:tc>
      </w:tr>
      <w:tr w:rsidR="00E64D0D" w:rsidRPr="006E1E85" w:rsidTr="00877F28">
        <w:tc>
          <w:tcPr>
            <w:tcW w:w="0" w:type="auto"/>
            <w:hideMark/>
          </w:tcPr>
          <w:p w:rsidR="00E64D0D" w:rsidRPr="006E1E85" w:rsidRDefault="00E64D0D" w:rsidP="00F31649">
            <w:pPr>
              <w:ind w:left="0" w:hanging="2"/>
              <w:rPr>
                <w:rFonts w:asciiTheme="majorHAnsi" w:hAnsiTheme="majorHAnsi" w:cstheme="majorHAnsi"/>
                <w:szCs w:val="24"/>
              </w:rPr>
            </w:pPr>
            <w:r w:rsidRPr="006E1E85">
              <w:rPr>
                <w:rFonts w:asciiTheme="majorHAnsi" w:hAnsiTheme="majorHAnsi" w:cstheme="majorHAnsi"/>
                <w:b/>
                <w:bCs/>
                <w:szCs w:val="24"/>
              </w:rPr>
              <w:t>77</w:t>
            </w:r>
            <w:r w:rsidRPr="006E1E85">
              <w:rPr>
                <w:rFonts w:asciiTheme="majorHAnsi" w:hAnsiTheme="majorHAnsi" w:cstheme="majorHAnsi"/>
                <w:b/>
                <w:bCs/>
                <w:szCs w:val="24"/>
                <w:vertAlign w:val="superscript"/>
              </w:rPr>
              <w:t>th</w:t>
            </w:r>
            <w:r w:rsidRPr="006E1E85">
              <w:rPr>
                <w:rFonts w:asciiTheme="majorHAnsi" w:hAnsiTheme="majorHAnsi" w:cstheme="majorHAnsi"/>
                <w:b/>
                <w:bCs/>
                <w:szCs w:val="24"/>
              </w:rPr>
              <w:t xml:space="preserve"> (2022)</w:t>
            </w:r>
          </w:p>
        </w:tc>
        <w:tc>
          <w:tcPr>
            <w:tcW w:w="0" w:type="auto"/>
            <w:hideMark/>
          </w:tcPr>
          <w:p w:rsidR="00E64D0D" w:rsidRPr="006E1E85" w:rsidRDefault="00E64D0D" w:rsidP="00F31649">
            <w:pPr>
              <w:ind w:left="0" w:hanging="2"/>
              <w:rPr>
                <w:rFonts w:asciiTheme="majorHAnsi" w:hAnsiTheme="majorHAnsi" w:cstheme="majorHAnsi"/>
                <w:szCs w:val="24"/>
              </w:rPr>
            </w:pPr>
            <w:proofErr w:type="spellStart"/>
            <w:r w:rsidRPr="006E1E85">
              <w:rPr>
                <w:rFonts w:asciiTheme="majorHAnsi" w:hAnsiTheme="majorHAnsi" w:cstheme="majorHAnsi"/>
                <w:i/>
                <w:iCs/>
                <w:szCs w:val="24"/>
              </w:rPr>
              <w:t>Pulih</w:t>
            </w:r>
            <w:proofErr w:type="spellEnd"/>
            <w:r w:rsidRPr="006E1E85">
              <w:rPr>
                <w:rFonts w:asciiTheme="majorHAnsi" w:hAnsiTheme="majorHAnsi" w:cstheme="majorHAnsi"/>
                <w:i/>
                <w:iCs/>
                <w:szCs w:val="24"/>
              </w:rPr>
              <w:t xml:space="preserve"> </w:t>
            </w:r>
            <w:proofErr w:type="spellStart"/>
            <w:r w:rsidRPr="006E1E85">
              <w:rPr>
                <w:rFonts w:asciiTheme="majorHAnsi" w:hAnsiTheme="majorHAnsi" w:cstheme="majorHAnsi"/>
                <w:i/>
                <w:iCs/>
                <w:szCs w:val="24"/>
              </w:rPr>
              <w:t>Lebih</w:t>
            </w:r>
            <w:proofErr w:type="spellEnd"/>
            <w:r w:rsidRPr="006E1E85">
              <w:rPr>
                <w:rFonts w:asciiTheme="majorHAnsi" w:hAnsiTheme="majorHAnsi" w:cstheme="majorHAnsi"/>
                <w:i/>
                <w:iCs/>
                <w:szCs w:val="24"/>
              </w:rPr>
              <w:t xml:space="preserve"> </w:t>
            </w:r>
            <w:proofErr w:type="spellStart"/>
            <w:r w:rsidRPr="006E1E85">
              <w:rPr>
                <w:rFonts w:asciiTheme="majorHAnsi" w:hAnsiTheme="majorHAnsi" w:cstheme="majorHAnsi"/>
                <w:i/>
                <w:iCs/>
                <w:szCs w:val="24"/>
              </w:rPr>
              <w:t>Cepat</w:t>
            </w:r>
            <w:proofErr w:type="spellEnd"/>
            <w:r w:rsidRPr="006E1E85">
              <w:rPr>
                <w:rFonts w:asciiTheme="majorHAnsi" w:hAnsiTheme="majorHAnsi" w:cstheme="majorHAnsi"/>
                <w:i/>
                <w:iCs/>
                <w:szCs w:val="24"/>
              </w:rPr>
              <w:t xml:space="preserve">, </w:t>
            </w:r>
            <w:proofErr w:type="spellStart"/>
            <w:r w:rsidRPr="006E1E85">
              <w:rPr>
                <w:rFonts w:asciiTheme="majorHAnsi" w:hAnsiTheme="majorHAnsi" w:cstheme="majorHAnsi"/>
                <w:i/>
                <w:iCs/>
                <w:szCs w:val="24"/>
              </w:rPr>
              <w:t>Bangkit</w:t>
            </w:r>
            <w:proofErr w:type="spellEnd"/>
            <w:r w:rsidRPr="006E1E85">
              <w:rPr>
                <w:rFonts w:asciiTheme="majorHAnsi" w:hAnsiTheme="majorHAnsi" w:cstheme="majorHAnsi"/>
                <w:i/>
                <w:iCs/>
                <w:szCs w:val="24"/>
              </w:rPr>
              <w:t xml:space="preserve"> </w:t>
            </w:r>
            <w:proofErr w:type="spellStart"/>
            <w:r w:rsidRPr="006E1E85">
              <w:rPr>
                <w:rFonts w:asciiTheme="majorHAnsi" w:hAnsiTheme="majorHAnsi" w:cstheme="majorHAnsi"/>
                <w:i/>
                <w:iCs/>
                <w:szCs w:val="24"/>
              </w:rPr>
              <w:t>Lebih</w:t>
            </w:r>
            <w:proofErr w:type="spellEnd"/>
            <w:r w:rsidRPr="006E1E85">
              <w:rPr>
                <w:rFonts w:asciiTheme="majorHAnsi" w:hAnsiTheme="majorHAnsi" w:cstheme="majorHAnsi"/>
                <w:i/>
                <w:iCs/>
                <w:szCs w:val="24"/>
              </w:rPr>
              <w:t xml:space="preserve"> </w:t>
            </w:r>
            <w:proofErr w:type="spellStart"/>
            <w:r w:rsidRPr="006E1E85">
              <w:rPr>
                <w:rFonts w:asciiTheme="majorHAnsi" w:hAnsiTheme="majorHAnsi" w:cstheme="majorHAnsi"/>
                <w:i/>
                <w:iCs/>
                <w:szCs w:val="24"/>
              </w:rPr>
              <w:t>Kuat</w:t>
            </w:r>
            <w:proofErr w:type="spellEnd"/>
            <w:r w:rsidRPr="006E1E85">
              <w:rPr>
                <w:rFonts w:asciiTheme="majorHAnsi" w:hAnsiTheme="majorHAnsi" w:cstheme="majorHAnsi"/>
                <w:szCs w:val="24"/>
              </w:rPr>
              <w:t xml:space="preserve"> – </w:t>
            </w:r>
            <w:r w:rsidRPr="006E1E85">
              <w:rPr>
                <w:rFonts w:asciiTheme="majorHAnsi" w:hAnsiTheme="majorHAnsi" w:cstheme="majorHAnsi"/>
                <w:i/>
                <w:iCs/>
                <w:szCs w:val="24"/>
              </w:rPr>
              <w:t>Recover Faster, Rise Stronger</w:t>
            </w:r>
          </w:p>
        </w:tc>
        <w:tc>
          <w:tcPr>
            <w:tcW w:w="0" w:type="auto"/>
            <w:hideMark/>
          </w:tcPr>
          <w:p w:rsidR="00E64D0D" w:rsidRPr="006E1E85" w:rsidRDefault="00E64D0D" w:rsidP="00F31649">
            <w:pPr>
              <w:ind w:left="0" w:hanging="2"/>
              <w:rPr>
                <w:rFonts w:asciiTheme="majorHAnsi" w:hAnsiTheme="majorHAnsi" w:cstheme="majorHAnsi"/>
                <w:szCs w:val="24"/>
              </w:rPr>
            </w:pPr>
            <w:r w:rsidRPr="006E1E85">
              <w:rPr>
                <w:rFonts w:asciiTheme="majorHAnsi" w:hAnsiTheme="majorHAnsi" w:cstheme="majorHAnsi"/>
                <w:szCs w:val="24"/>
              </w:rPr>
              <w:t>Declarative with imperative tone</w:t>
            </w:r>
          </w:p>
        </w:tc>
        <w:tc>
          <w:tcPr>
            <w:tcW w:w="0" w:type="auto"/>
            <w:hideMark/>
          </w:tcPr>
          <w:p w:rsidR="00E64D0D" w:rsidRPr="006E1E85" w:rsidRDefault="00E64D0D" w:rsidP="00F31649">
            <w:pPr>
              <w:ind w:left="0" w:hanging="2"/>
              <w:rPr>
                <w:rFonts w:asciiTheme="majorHAnsi" w:hAnsiTheme="majorHAnsi" w:cstheme="majorHAnsi"/>
                <w:szCs w:val="24"/>
              </w:rPr>
            </w:pPr>
            <w:r w:rsidRPr="006E1E85">
              <w:rPr>
                <w:rFonts w:asciiTheme="majorHAnsi" w:hAnsiTheme="majorHAnsi" w:cstheme="majorHAnsi"/>
                <w:szCs w:val="24"/>
              </w:rPr>
              <w:t>Implicit high inclination</w:t>
            </w:r>
          </w:p>
        </w:tc>
        <w:tc>
          <w:tcPr>
            <w:tcW w:w="0" w:type="auto"/>
            <w:hideMark/>
          </w:tcPr>
          <w:p w:rsidR="00E64D0D" w:rsidRPr="006E1E85" w:rsidRDefault="00E64D0D" w:rsidP="00F31649">
            <w:pPr>
              <w:ind w:left="0" w:hanging="2"/>
              <w:rPr>
                <w:rFonts w:asciiTheme="majorHAnsi" w:hAnsiTheme="majorHAnsi" w:cstheme="majorHAnsi"/>
                <w:szCs w:val="24"/>
              </w:rPr>
            </w:pPr>
            <w:r w:rsidRPr="006E1E85">
              <w:rPr>
                <w:rFonts w:asciiTheme="majorHAnsi" w:hAnsiTheme="majorHAnsi" w:cstheme="majorHAnsi"/>
                <w:szCs w:val="24"/>
              </w:rPr>
              <w:t>None</w:t>
            </w:r>
          </w:p>
        </w:tc>
        <w:tc>
          <w:tcPr>
            <w:tcW w:w="0" w:type="auto"/>
            <w:hideMark/>
          </w:tcPr>
          <w:p w:rsidR="00E64D0D" w:rsidRPr="006E1E85" w:rsidRDefault="00E64D0D" w:rsidP="00F31649">
            <w:pPr>
              <w:ind w:left="0" w:hanging="2"/>
              <w:rPr>
                <w:rFonts w:asciiTheme="majorHAnsi" w:hAnsiTheme="majorHAnsi" w:cstheme="majorHAnsi"/>
                <w:szCs w:val="24"/>
              </w:rPr>
            </w:pPr>
            <w:r w:rsidRPr="006E1E85">
              <w:rPr>
                <w:rFonts w:asciiTheme="majorHAnsi" w:hAnsiTheme="majorHAnsi" w:cstheme="majorHAnsi"/>
                <w:szCs w:val="24"/>
              </w:rPr>
              <w:t>Motivational, comparative</w:t>
            </w:r>
          </w:p>
        </w:tc>
        <w:tc>
          <w:tcPr>
            <w:tcW w:w="1803" w:type="dxa"/>
            <w:hideMark/>
          </w:tcPr>
          <w:p w:rsidR="00E64D0D" w:rsidRPr="006E1E85" w:rsidRDefault="00E64D0D" w:rsidP="00F31649">
            <w:pPr>
              <w:ind w:left="0" w:hanging="2"/>
              <w:rPr>
                <w:rFonts w:asciiTheme="majorHAnsi" w:hAnsiTheme="majorHAnsi" w:cstheme="majorHAnsi"/>
                <w:szCs w:val="24"/>
              </w:rPr>
            </w:pPr>
            <w:r w:rsidRPr="006E1E85">
              <w:rPr>
                <w:rFonts w:asciiTheme="majorHAnsi" w:hAnsiTheme="majorHAnsi" w:cstheme="majorHAnsi"/>
                <w:szCs w:val="24"/>
              </w:rPr>
              <w:t>Intensifies urgency and determination through graduation (“faster,” “stronger”).</w:t>
            </w:r>
          </w:p>
        </w:tc>
      </w:tr>
      <w:tr w:rsidR="00E64D0D" w:rsidRPr="006E1E85" w:rsidTr="00877F28">
        <w:tc>
          <w:tcPr>
            <w:tcW w:w="0" w:type="auto"/>
            <w:hideMark/>
          </w:tcPr>
          <w:p w:rsidR="00E64D0D" w:rsidRPr="006E1E85" w:rsidRDefault="00E64D0D" w:rsidP="00F31649">
            <w:pPr>
              <w:ind w:left="0" w:hanging="2"/>
              <w:rPr>
                <w:rFonts w:asciiTheme="majorHAnsi" w:hAnsiTheme="majorHAnsi" w:cstheme="majorHAnsi"/>
                <w:szCs w:val="24"/>
              </w:rPr>
            </w:pPr>
            <w:r w:rsidRPr="006E1E85">
              <w:rPr>
                <w:rFonts w:asciiTheme="majorHAnsi" w:hAnsiTheme="majorHAnsi" w:cstheme="majorHAnsi"/>
                <w:b/>
                <w:bCs/>
                <w:szCs w:val="24"/>
              </w:rPr>
              <w:t>78</w:t>
            </w:r>
            <w:r w:rsidRPr="006E1E85">
              <w:rPr>
                <w:rFonts w:asciiTheme="majorHAnsi" w:hAnsiTheme="majorHAnsi" w:cstheme="majorHAnsi"/>
                <w:b/>
                <w:bCs/>
                <w:szCs w:val="24"/>
                <w:vertAlign w:val="superscript"/>
              </w:rPr>
              <w:t>th</w:t>
            </w:r>
            <w:r w:rsidRPr="006E1E85">
              <w:rPr>
                <w:rFonts w:asciiTheme="majorHAnsi" w:hAnsiTheme="majorHAnsi" w:cstheme="majorHAnsi"/>
                <w:b/>
                <w:bCs/>
                <w:szCs w:val="24"/>
              </w:rPr>
              <w:t xml:space="preserve"> (2023)</w:t>
            </w:r>
          </w:p>
        </w:tc>
        <w:tc>
          <w:tcPr>
            <w:tcW w:w="0" w:type="auto"/>
            <w:hideMark/>
          </w:tcPr>
          <w:p w:rsidR="00E64D0D" w:rsidRPr="006E1E85" w:rsidRDefault="00E64D0D" w:rsidP="00F31649">
            <w:pPr>
              <w:ind w:left="0" w:hanging="2"/>
              <w:rPr>
                <w:rFonts w:asciiTheme="majorHAnsi" w:hAnsiTheme="majorHAnsi" w:cstheme="majorHAnsi"/>
                <w:szCs w:val="24"/>
              </w:rPr>
            </w:pPr>
            <w:proofErr w:type="spellStart"/>
            <w:r w:rsidRPr="006E1E85">
              <w:rPr>
                <w:rFonts w:asciiTheme="majorHAnsi" w:hAnsiTheme="majorHAnsi" w:cstheme="majorHAnsi"/>
                <w:i/>
                <w:iCs/>
                <w:szCs w:val="24"/>
              </w:rPr>
              <w:t>Terus</w:t>
            </w:r>
            <w:proofErr w:type="spellEnd"/>
            <w:r w:rsidRPr="006E1E85">
              <w:rPr>
                <w:rFonts w:asciiTheme="majorHAnsi" w:hAnsiTheme="majorHAnsi" w:cstheme="majorHAnsi"/>
                <w:i/>
                <w:iCs/>
                <w:szCs w:val="24"/>
              </w:rPr>
              <w:t xml:space="preserve"> </w:t>
            </w:r>
            <w:proofErr w:type="spellStart"/>
            <w:r w:rsidRPr="006E1E85">
              <w:rPr>
                <w:rFonts w:asciiTheme="majorHAnsi" w:hAnsiTheme="majorHAnsi" w:cstheme="majorHAnsi"/>
                <w:i/>
                <w:iCs/>
                <w:szCs w:val="24"/>
              </w:rPr>
              <w:t>Melaju</w:t>
            </w:r>
            <w:proofErr w:type="spellEnd"/>
            <w:r w:rsidRPr="006E1E85">
              <w:rPr>
                <w:rFonts w:asciiTheme="majorHAnsi" w:hAnsiTheme="majorHAnsi" w:cstheme="majorHAnsi"/>
                <w:i/>
                <w:iCs/>
                <w:szCs w:val="24"/>
              </w:rPr>
              <w:t xml:space="preserve"> </w:t>
            </w:r>
            <w:proofErr w:type="spellStart"/>
            <w:r w:rsidRPr="006E1E85">
              <w:rPr>
                <w:rFonts w:asciiTheme="majorHAnsi" w:hAnsiTheme="majorHAnsi" w:cstheme="majorHAnsi"/>
                <w:i/>
                <w:iCs/>
                <w:szCs w:val="24"/>
              </w:rPr>
              <w:t>untuk</w:t>
            </w:r>
            <w:proofErr w:type="spellEnd"/>
            <w:r w:rsidRPr="006E1E85">
              <w:rPr>
                <w:rFonts w:asciiTheme="majorHAnsi" w:hAnsiTheme="majorHAnsi" w:cstheme="majorHAnsi"/>
                <w:i/>
                <w:iCs/>
                <w:szCs w:val="24"/>
              </w:rPr>
              <w:t xml:space="preserve"> Indonesia </w:t>
            </w:r>
            <w:proofErr w:type="spellStart"/>
            <w:r w:rsidRPr="006E1E85">
              <w:rPr>
                <w:rFonts w:asciiTheme="majorHAnsi" w:hAnsiTheme="majorHAnsi" w:cstheme="majorHAnsi"/>
                <w:i/>
                <w:iCs/>
                <w:szCs w:val="24"/>
              </w:rPr>
              <w:t>Maju</w:t>
            </w:r>
            <w:proofErr w:type="spellEnd"/>
            <w:r w:rsidRPr="006E1E85">
              <w:rPr>
                <w:rFonts w:asciiTheme="majorHAnsi" w:hAnsiTheme="majorHAnsi" w:cstheme="majorHAnsi"/>
                <w:szCs w:val="24"/>
              </w:rPr>
              <w:t xml:space="preserve"> – </w:t>
            </w:r>
            <w:r w:rsidRPr="006E1E85">
              <w:rPr>
                <w:rFonts w:asciiTheme="majorHAnsi" w:hAnsiTheme="majorHAnsi" w:cstheme="majorHAnsi"/>
                <w:i/>
                <w:iCs/>
                <w:szCs w:val="24"/>
              </w:rPr>
              <w:t>Keep Going Forward for an Advanced Indonesia</w:t>
            </w:r>
          </w:p>
        </w:tc>
        <w:tc>
          <w:tcPr>
            <w:tcW w:w="0" w:type="auto"/>
            <w:hideMark/>
          </w:tcPr>
          <w:p w:rsidR="00E64D0D" w:rsidRPr="006E1E85" w:rsidRDefault="00E64D0D" w:rsidP="00F31649">
            <w:pPr>
              <w:ind w:left="0" w:hanging="2"/>
              <w:rPr>
                <w:rFonts w:asciiTheme="majorHAnsi" w:hAnsiTheme="majorHAnsi" w:cstheme="majorHAnsi"/>
                <w:szCs w:val="24"/>
              </w:rPr>
            </w:pPr>
            <w:r w:rsidRPr="006E1E85">
              <w:rPr>
                <w:rFonts w:asciiTheme="majorHAnsi" w:hAnsiTheme="majorHAnsi" w:cstheme="majorHAnsi"/>
                <w:szCs w:val="24"/>
              </w:rPr>
              <w:t>Imperative</w:t>
            </w:r>
          </w:p>
        </w:tc>
        <w:tc>
          <w:tcPr>
            <w:tcW w:w="0" w:type="auto"/>
            <w:hideMark/>
          </w:tcPr>
          <w:p w:rsidR="00E64D0D" w:rsidRPr="006E1E85" w:rsidRDefault="00E64D0D" w:rsidP="00F31649">
            <w:pPr>
              <w:ind w:left="0" w:hanging="2"/>
              <w:rPr>
                <w:rFonts w:asciiTheme="majorHAnsi" w:hAnsiTheme="majorHAnsi" w:cstheme="majorHAnsi"/>
                <w:szCs w:val="24"/>
              </w:rPr>
            </w:pPr>
            <w:r w:rsidRPr="006E1E85">
              <w:rPr>
                <w:rFonts w:asciiTheme="majorHAnsi" w:hAnsiTheme="majorHAnsi" w:cstheme="majorHAnsi"/>
                <w:szCs w:val="24"/>
              </w:rPr>
              <w:t>Inclination</w:t>
            </w:r>
          </w:p>
        </w:tc>
        <w:tc>
          <w:tcPr>
            <w:tcW w:w="0" w:type="auto"/>
            <w:hideMark/>
          </w:tcPr>
          <w:p w:rsidR="00E64D0D" w:rsidRPr="006E1E85" w:rsidRDefault="00E64D0D" w:rsidP="00F31649">
            <w:pPr>
              <w:ind w:left="0" w:hanging="2"/>
              <w:rPr>
                <w:rFonts w:asciiTheme="majorHAnsi" w:hAnsiTheme="majorHAnsi" w:cstheme="majorHAnsi"/>
                <w:szCs w:val="24"/>
              </w:rPr>
            </w:pPr>
            <w:r w:rsidRPr="006E1E85">
              <w:rPr>
                <w:rFonts w:asciiTheme="majorHAnsi" w:hAnsiTheme="majorHAnsi" w:cstheme="majorHAnsi"/>
                <w:szCs w:val="24"/>
              </w:rPr>
              <w:t>Implicit “we”</w:t>
            </w:r>
          </w:p>
        </w:tc>
        <w:tc>
          <w:tcPr>
            <w:tcW w:w="0" w:type="auto"/>
            <w:hideMark/>
          </w:tcPr>
          <w:p w:rsidR="00E64D0D" w:rsidRPr="006E1E85" w:rsidRDefault="00E64D0D" w:rsidP="00F31649">
            <w:pPr>
              <w:ind w:left="0" w:hanging="2"/>
              <w:rPr>
                <w:rFonts w:asciiTheme="majorHAnsi" w:hAnsiTheme="majorHAnsi" w:cstheme="majorHAnsi"/>
                <w:szCs w:val="24"/>
              </w:rPr>
            </w:pPr>
            <w:r w:rsidRPr="006E1E85">
              <w:rPr>
                <w:rFonts w:asciiTheme="majorHAnsi" w:hAnsiTheme="majorHAnsi" w:cstheme="majorHAnsi"/>
                <w:szCs w:val="24"/>
              </w:rPr>
              <w:t>Energizing, progressive</w:t>
            </w:r>
          </w:p>
        </w:tc>
        <w:tc>
          <w:tcPr>
            <w:tcW w:w="1803" w:type="dxa"/>
            <w:hideMark/>
          </w:tcPr>
          <w:p w:rsidR="00E64D0D" w:rsidRPr="006E1E85" w:rsidRDefault="00E64D0D" w:rsidP="00F31649">
            <w:pPr>
              <w:ind w:left="0" w:hanging="2"/>
              <w:rPr>
                <w:rFonts w:asciiTheme="majorHAnsi" w:hAnsiTheme="majorHAnsi" w:cstheme="majorHAnsi"/>
                <w:szCs w:val="24"/>
              </w:rPr>
            </w:pPr>
            <w:r w:rsidRPr="006E1E85">
              <w:rPr>
                <w:rFonts w:asciiTheme="majorHAnsi" w:hAnsiTheme="majorHAnsi" w:cstheme="majorHAnsi"/>
                <w:szCs w:val="24"/>
              </w:rPr>
              <w:t>Emphasizes perseverance and continuity toward national progress.</w:t>
            </w:r>
          </w:p>
        </w:tc>
      </w:tr>
      <w:tr w:rsidR="00E64D0D" w:rsidRPr="006E1E85" w:rsidTr="00877F28">
        <w:tc>
          <w:tcPr>
            <w:tcW w:w="0" w:type="auto"/>
            <w:hideMark/>
          </w:tcPr>
          <w:p w:rsidR="00E64D0D" w:rsidRPr="006E1E85" w:rsidRDefault="00E64D0D" w:rsidP="00F31649">
            <w:pPr>
              <w:ind w:left="0" w:hanging="2"/>
              <w:rPr>
                <w:rFonts w:asciiTheme="majorHAnsi" w:hAnsiTheme="majorHAnsi" w:cstheme="majorHAnsi"/>
                <w:szCs w:val="24"/>
              </w:rPr>
            </w:pPr>
            <w:r w:rsidRPr="006E1E85">
              <w:rPr>
                <w:rFonts w:asciiTheme="majorHAnsi" w:hAnsiTheme="majorHAnsi" w:cstheme="majorHAnsi"/>
                <w:b/>
                <w:bCs/>
                <w:szCs w:val="24"/>
              </w:rPr>
              <w:t>79</w:t>
            </w:r>
            <w:r w:rsidRPr="006E1E85">
              <w:rPr>
                <w:rFonts w:asciiTheme="majorHAnsi" w:hAnsiTheme="majorHAnsi" w:cstheme="majorHAnsi"/>
                <w:b/>
                <w:bCs/>
                <w:szCs w:val="24"/>
                <w:vertAlign w:val="superscript"/>
              </w:rPr>
              <w:t>th</w:t>
            </w:r>
            <w:r w:rsidRPr="006E1E85">
              <w:rPr>
                <w:rFonts w:asciiTheme="majorHAnsi" w:hAnsiTheme="majorHAnsi" w:cstheme="majorHAnsi"/>
                <w:b/>
                <w:bCs/>
                <w:szCs w:val="24"/>
              </w:rPr>
              <w:t xml:space="preserve"> (2024)</w:t>
            </w:r>
          </w:p>
        </w:tc>
        <w:tc>
          <w:tcPr>
            <w:tcW w:w="0" w:type="auto"/>
            <w:hideMark/>
          </w:tcPr>
          <w:p w:rsidR="00E64D0D" w:rsidRPr="006E1E85" w:rsidRDefault="00E64D0D" w:rsidP="00F31649">
            <w:pPr>
              <w:ind w:left="0" w:hanging="2"/>
              <w:rPr>
                <w:rFonts w:asciiTheme="majorHAnsi" w:hAnsiTheme="majorHAnsi" w:cstheme="majorHAnsi"/>
                <w:szCs w:val="24"/>
              </w:rPr>
            </w:pPr>
            <w:r w:rsidRPr="006E1E85">
              <w:rPr>
                <w:rFonts w:asciiTheme="majorHAnsi" w:hAnsiTheme="majorHAnsi" w:cstheme="majorHAnsi"/>
                <w:i/>
                <w:iCs/>
                <w:szCs w:val="24"/>
              </w:rPr>
              <w:t xml:space="preserve">Nusantara </w:t>
            </w:r>
            <w:proofErr w:type="spellStart"/>
            <w:r w:rsidRPr="006E1E85">
              <w:rPr>
                <w:rFonts w:asciiTheme="majorHAnsi" w:hAnsiTheme="majorHAnsi" w:cstheme="majorHAnsi"/>
                <w:i/>
                <w:iCs/>
                <w:szCs w:val="24"/>
              </w:rPr>
              <w:t>Baru</w:t>
            </w:r>
            <w:proofErr w:type="spellEnd"/>
            <w:r w:rsidRPr="006E1E85">
              <w:rPr>
                <w:rFonts w:asciiTheme="majorHAnsi" w:hAnsiTheme="majorHAnsi" w:cstheme="majorHAnsi"/>
                <w:i/>
                <w:iCs/>
                <w:szCs w:val="24"/>
              </w:rPr>
              <w:t xml:space="preserve">, Indonesia </w:t>
            </w:r>
            <w:proofErr w:type="spellStart"/>
            <w:r w:rsidRPr="006E1E85">
              <w:rPr>
                <w:rFonts w:asciiTheme="majorHAnsi" w:hAnsiTheme="majorHAnsi" w:cstheme="majorHAnsi"/>
                <w:i/>
                <w:iCs/>
                <w:szCs w:val="24"/>
              </w:rPr>
              <w:t>Maju</w:t>
            </w:r>
            <w:proofErr w:type="spellEnd"/>
            <w:r w:rsidRPr="006E1E85">
              <w:rPr>
                <w:rFonts w:asciiTheme="majorHAnsi" w:hAnsiTheme="majorHAnsi" w:cstheme="majorHAnsi"/>
                <w:szCs w:val="24"/>
              </w:rPr>
              <w:t xml:space="preserve"> – </w:t>
            </w:r>
            <w:r w:rsidRPr="006E1E85">
              <w:rPr>
                <w:rFonts w:asciiTheme="majorHAnsi" w:hAnsiTheme="majorHAnsi" w:cstheme="majorHAnsi"/>
                <w:i/>
                <w:iCs/>
                <w:szCs w:val="24"/>
              </w:rPr>
              <w:t>New Nusantara, Advanced Indonesia</w:t>
            </w:r>
          </w:p>
        </w:tc>
        <w:tc>
          <w:tcPr>
            <w:tcW w:w="0" w:type="auto"/>
            <w:hideMark/>
          </w:tcPr>
          <w:p w:rsidR="00E64D0D" w:rsidRPr="006E1E85" w:rsidRDefault="00E64D0D" w:rsidP="00F31649">
            <w:pPr>
              <w:ind w:left="0" w:hanging="2"/>
              <w:rPr>
                <w:rFonts w:asciiTheme="majorHAnsi" w:hAnsiTheme="majorHAnsi" w:cstheme="majorHAnsi"/>
                <w:szCs w:val="24"/>
              </w:rPr>
            </w:pPr>
            <w:r w:rsidRPr="006E1E85">
              <w:rPr>
                <w:rFonts w:asciiTheme="majorHAnsi" w:hAnsiTheme="majorHAnsi" w:cstheme="majorHAnsi"/>
                <w:szCs w:val="24"/>
              </w:rPr>
              <w:t>Declarative</w:t>
            </w:r>
          </w:p>
        </w:tc>
        <w:tc>
          <w:tcPr>
            <w:tcW w:w="0" w:type="auto"/>
            <w:hideMark/>
          </w:tcPr>
          <w:p w:rsidR="00E64D0D" w:rsidRPr="006E1E85" w:rsidRDefault="00E64D0D" w:rsidP="00F31649">
            <w:pPr>
              <w:ind w:left="0" w:hanging="2"/>
              <w:rPr>
                <w:rFonts w:asciiTheme="majorHAnsi" w:hAnsiTheme="majorHAnsi" w:cstheme="majorHAnsi"/>
                <w:szCs w:val="24"/>
              </w:rPr>
            </w:pPr>
            <w:r w:rsidRPr="006E1E85">
              <w:rPr>
                <w:rFonts w:asciiTheme="majorHAnsi" w:hAnsiTheme="majorHAnsi" w:cstheme="majorHAnsi"/>
                <w:szCs w:val="24"/>
              </w:rPr>
              <w:t>Assertive certainty</w:t>
            </w:r>
          </w:p>
        </w:tc>
        <w:tc>
          <w:tcPr>
            <w:tcW w:w="0" w:type="auto"/>
            <w:hideMark/>
          </w:tcPr>
          <w:p w:rsidR="00E64D0D" w:rsidRPr="006E1E85" w:rsidRDefault="00E64D0D" w:rsidP="00F31649">
            <w:pPr>
              <w:ind w:left="0" w:hanging="2"/>
              <w:rPr>
                <w:rFonts w:asciiTheme="majorHAnsi" w:hAnsiTheme="majorHAnsi" w:cstheme="majorHAnsi"/>
                <w:szCs w:val="24"/>
              </w:rPr>
            </w:pPr>
            <w:r w:rsidRPr="006E1E85">
              <w:rPr>
                <w:rFonts w:asciiTheme="majorHAnsi" w:hAnsiTheme="majorHAnsi" w:cstheme="majorHAnsi"/>
                <w:szCs w:val="24"/>
              </w:rPr>
              <w:t>None</w:t>
            </w:r>
          </w:p>
        </w:tc>
        <w:tc>
          <w:tcPr>
            <w:tcW w:w="0" w:type="auto"/>
            <w:hideMark/>
          </w:tcPr>
          <w:p w:rsidR="00E64D0D" w:rsidRPr="006E1E85" w:rsidRDefault="00E64D0D" w:rsidP="00F31649">
            <w:pPr>
              <w:ind w:left="0" w:hanging="2"/>
              <w:rPr>
                <w:rFonts w:asciiTheme="majorHAnsi" w:hAnsiTheme="majorHAnsi" w:cstheme="majorHAnsi"/>
                <w:szCs w:val="24"/>
              </w:rPr>
            </w:pPr>
            <w:r w:rsidRPr="006E1E85">
              <w:rPr>
                <w:rFonts w:asciiTheme="majorHAnsi" w:hAnsiTheme="majorHAnsi" w:cstheme="majorHAnsi"/>
                <w:szCs w:val="24"/>
              </w:rPr>
              <w:t>Positive, visionary</w:t>
            </w:r>
          </w:p>
        </w:tc>
        <w:tc>
          <w:tcPr>
            <w:tcW w:w="1803" w:type="dxa"/>
            <w:hideMark/>
          </w:tcPr>
          <w:p w:rsidR="00E64D0D" w:rsidRPr="006E1E85" w:rsidRDefault="00E64D0D" w:rsidP="00F31649">
            <w:pPr>
              <w:ind w:left="0" w:hanging="2"/>
              <w:rPr>
                <w:rFonts w:asciiTheme="majorHAnsi" w:hAnsiTheme="majorHAnsi" w:cstheme="majorHAnsi"/>
                <w:szCs w:val="24"/>
              </w:rPr>
            </w:pPr>
            <w:r w:rsidRPr="006E1E85">
              <w:rPr>
                <w:rFonts w:asciiTheme="majorHAnsi" w:hAnsiTheme="majorHAnsi" w:cstheme="majorHAnsi"/>
                <w:szCs w:val="24"/>
              </w:rPr>
              <w:t>Links new capital (Nusantara) with national progress; builds acceptance of transformation.</w:t>
            </w:r>
          </w:p>
        </w:tc>
      </w:tr>
      <w:tr w:rsidR="00E64D0D" w:rsidRPr="006E1E85" w:rsidTr="00877F28">
        <w:tc>
          <w:tcPr>
            <w:tcW w:w="0" w:type="auto"/>
            <w:hideMark/>
          </w:tcPr>
          <w:p w:rsidR="00E64D0D" w:rsidRPr="006E1E85" w:rsidRDefault="00E64D0D" w:rsidP="00F31649">
            <w:pPr>
              <w:ind w:left="0" w:hanging="2"/>
              <w:rPr>
                <w:rFonts w:asciiTheme="majorHAnsi" w:hAnsiTheme="majorHAnsi" w:cstheme="majorHAnsi"/>
                <w:szCs w:val="24"/>
              </w:rPr>
            </w:pPr>
            <w:r w:rsidRPr="006E1E85">
              <w:rPr>
                <w:rFonts w:asciiTheme="majorHAnsi" w:hAnsiTheme="majorHAnsi" w:cstheme="majorHAnsi"/>
                <w:b/>
                <w:bCs/>
                <w:szCs w:val="24"/>
              </w:rPr>
              <w:t>80</w:t>
            </w:r>
            <w:r w:rsidRPr="006E1E85">
              <w:rPr>
                <w:rFonts w:asciiTheme="majorHAnsi" w:hAnsiTheme="majorHAnsi" w:cstheme="majorHAnsi"/>
                <w:b/>
                <w:bCs/>
                <w:szCs w:val="24"/>
                <w:vertAlign w:val="superscript"/>
              </w:rPr>
              <w:t>th</w:t>
            </w:r>
            <w:r w:rsidRPr="006E1E85">
              <w:rPr>
                <w:rFonts w:asciiTheme="majorHAnsi" w:hAnsiTheme="majorHAnsi" w:cstheme="majorHAnsi"/>
                <w:b/>
                <w:bCs/>
                <w:szCs w:val="24"/>
              </w:rPr>
              <w:t xml:space="preserve"> (2025)</w:t>
            </w:r>
          </w:p>
        </w:tc>
        <w:tc>
          <w:tcPr>
            <w:tcW w:w="0" w:type="auto"/>
            <w:hideMark/>
          </w:tcPr>
          <w:p w:rsidR="00E64D0D" w:rsidRPr="006E1E85" w:rsidRDefault="00E64D0D" w:rsidP="00F31649">
            <w:pPr>
              <w:ind w:left="0" w:hanging="2"/>
              <w:rPr>
                <w:rFonts w:asciiTheme="majorHAnsi" w:hAnsiTheme="majorHAnsi" w:cstheme="majorHAnsi"/>
                <w:szCs w:val="24"/>
              </w:rPr>
            </w:pPr>
            <w:proofErr w:type="spellStart"/>
            <w:r w:rsidRPr="006E1E85">
              <w:rPr>
                <w:rFonts w:asciiTheme="majorHAnsi" w:hAnsiTheme="majorHAnsi" w:cstheme="majorHAnsi"/>
                <w:i/>
                <w:iCs/>
                <w:szCs w:val="24"/>
              </w:rPr>
              <w:t>Bersatu</w:t>
            </w:r>
            <w:proofErr w:type="spellEnd"/>
            <w:r w:rsidRPr="006E1E85">
              <w:rPr>
                <w:rFonts w:asciiTheme="majorHAnsi" w:hAnsiTheme="majorHAnsi" w:cstheme="majorHAnsi"/>
                <w:i/>
                <w:iCs/>
                <w:szCs w:val="24"/>
              </w:rPr>
              <w:t xml:space="preserve"> </w:t>
            </w:r>
            <w:proofErr w:type="spellStart"/>
            <w:r w:rsidRPr="006E1E85">
              <w:rPr>
                <w:rFonts w:asciiTheme="majorHAnsi" w:hAnsiTheme="majorHAnsi" w:cstheme="majorHAnsi"/>
                <w:i/>
                <w:iCs/>
                <w:szCs w:val="24"/>
              </w:rPr>
              <w:t>Berdaulat</w:t>
            </w:r>
            <w:proofErr w:type="spellEnd"/>
            <w:r w:rsidRPr="006E1E85">
              <w:rPr>
                <w:rFonts w:asciiTheme="majorHAnsi" w:hAnsiTheme="majorHAnsi" w:cstheme="majorHAnsi"/>
                <w:i/>
                <w:iCs/>
                <w:szCs w:val="24"/>
              </w:rPr>
              <w:t xml:space="preserve">, Rakyat Sejahtera, Indonesia </w:t>
            </w:r>
            <w:proofErr w:type="spellStart"/>
            <w:r w:rsidRPr="006E1E85">
              <w:rPr>
                <w:rFonts w:asciiTheme="majorHAnsi" w:hAnsiTheme="majorHAnsi" w:cstheme="majorHAnsi"/>
                <w:i/>
                <w:iCs/>
                <w:szCs w:val="24"/>
              </w:rPr>
              <w:t>Maju</w:t>
            </w:r>
            <w:proofErr w:type="spellEnd"/>
            <w:r w:rsidRPr="006E1E85">
              <w:rPr>
                <w:rFonts w:asciiTheme="majorHAnsi" w:hAnsiTheme="majorHAnsi" w:cstheme="majorHAnsi"/>
                <w:szCs w:val="24"/>
              </w:rPr>
              <w:t xml:space="preserve"> – </w:t>
            </w:r>
            <w:r w:rsidRPr="006E1E85">
              <w:rPr>
                <w:rFonts w:asciiTheme="majorHAnsi" w:hAnsiTheme="majorHAnsi" w:cstheme="majorHAnsi"/>
                <w:i/>
                <w:iCs/>
                <w:szCs w:val="24"/>
              </w:rPr>
              <w:t xml:space="preserve">United and Sovereign, Prosperous </w:t>
            </w:r>
            <w:r w:rsidRPr="006E1E85">
              <w:rPr>
                <w:rFonts w:asciiTheme="majorHAnsi" w:hAnsiTheme="majorHAnsi" w:cstheme="majorHAnsi"/>
                <w:i/>
                <w:iCs/>
                <w:szCs w:val="24"/>
              </w:rPr>
              <w:lastRenderedPageBreak/>
              <w:t>People, Advanced Indonesia</w:t>
            </w:r>
          </w:p>
        </w:tc>
        <w:tc>
          <w:tcPr>
            <w:tcW w:w="0" w:type="auto"/>
            <w:hideMark/>
          </w:tcPr>
          <w:p w:rsidR="00E64D0D" w:rsidRPr="006E1E85" w:rsidRDefault="00E64D0D" w:rsidP="00F31649">
            <w:pPr>
              <w:ind w:left="0" w:hanging="2"/>
              <w:rPr>
                <w:rFonts w:asciiTheme="majorHAnsi" w:hAnsiTheme="majorHAnsi" w:cstheme="majorHAnsi"/>
                <w:szCs w:val="24"/>
              </w:rPr>
            </w:pPr>
            <w:r w:rsidRPr="006E1E85">
              <w:rPr>
                <w:rFonts w:asciiTheme="majorHAnsi" w:hAnsiTheme="majorHAnsi" w:cstheme="majorHAnsi"/>
                <w:szCs w:val="24"/>
              </w:rPr>
              <w:lastRenderedPageBreak/>
              <w:t>Declarative (listing)</w:t>
            </w:r>
          </w:p>
        </w:tc>
        <w:tc>
          <w:tcPr>
            <w:tcW w:w="0" w:type="auto"/>
            <w:hideMark/>
          </w:tcPr>
          <w:p w:rsidR="00E64D0D" w:rsidRPr="006E1E85" w:rsidRDefault="00E64D0D" w:rsidP="00F31649">
            <w:pPr>
              <w:ind w:left="0" w:hanging="2"/>
              <w:rPr>
                <w:rFonts w:asciiTheme="majorHAnsi" w:hAnsiTheme="majorHAnsi" w:cstheme="majorHAnsi"/>
                <w:szCs w:val="24"/>
              </w:rPr>
            </w:pPr>
            <w:r w:rsidRPr="006E1E85">
              <w:rPr>
                <w:rFonts w:asciiTheme="majorHAnsi" w:hAnsiTheme="majorHAnsi" w:cstheme="majorHAnsi"/>
                <w:szCs w:val="24"/>
              </w:rPr>
              <w:t>High certainty</w:t>
            </w:r>
          </w:p>
        </w:tc>
        <w:tc>
          <w:tcPr>
            <w:tcW w:w="0" w:type="auto"/>
            <w:hideMark/>
          </w:tcPr>
          <w:p w:rsidR="00E64D0D" w:rsidRPr="006E1E85" w:rsidRDefault="00E64D0D" w:rsidP="00F31649">
            <w:pPr>
              <w:ind w:left="0" w:hanging="2"/>
              <w:rPr>
                <w:rFonts w:asciiTheme="majorHAnsi" w:hAnsiTheme="majorHAnsi" w:cstheme="majorHAnsi"/>
                <w:szCs w:val="24"/>
              </w:rPr>
            </w:pPr>
            <w:r w:rsidRPr="006E1E85">
              <w:rPr>
                <w:rFonts w:asciiTheme="majorHAnsi" w:hAnsiTheme="majorHAnsi" w:cstheme="majorHAnsi"/>
                <w:szCs w:val="24"/>
              </w:rPr>
              <w:t>Explicit “</w:t>
            </w:r>
            <w:proofErr w:type="spellStart"/>
            <w:r w:rsidRPr="006E1E85">
              <w:rPr>
                <w:rFonts w:asciiTheme="majorHAnsi" w:hAnsiTheme="majorHAnsi" w:cstheme="majorHAnsi"/>
                <w:szCs w:val="24"/>
              </w:rPr>
              <w:t>rakyat</w:t>
            </w:r>
            <w:proofErr w:type="spellEnd"/>
            <w:r w:rsidRPr="006E1E85">
              <w:rPr>
                <w:rFonts w:asciiTheme="majorHAnsi" w:hAnsiTheme="majorHAnsi" w:cstheme="majorHAnsi"/>
                <w:szCs w:val="24"/>
              </w:rPr>
              <w:t>” (people)</w:t>
            </w:r>
          </w:p>
        </w:tc>
        <w:tc>
          <w:tcPr>
            <w:tcW w:w="0" w:type="auto"/>
            <w:hideMark/>
          </w:tcPr>
          <w:p w:rsidR="00E64D0D" w:rsidRPr="006E1E85" w:rsidRDefault="00E64D0D" w:rsidP="00F31649">
            <w:pPr>
              <w:ind w:left="0" w:hanging="2"/>
              <w:rPr>
                <w:rFonts w:asciiTheme="majorHAnsi" w:hAnsiTheme="majorHAnsi" w:cstheme="majorHAnsi"/>
                <w:szCs w:val="24"/>
              </w:rPr>
            </w:pPr>
            <w:r w:rsidRPr="006E1E85">
              <w:rPr>
                <w:rFonts w:asciiTheme="majorHAnsi" w:hAnsiTheme="majorHAnsi" w:cstheme="majorHAnsi"/>
                <w:szCs w:val="24"/>
              </w:rPr>
              <w:t>Highly positive, comprehensive</w:t>
            </w:r>
          </w:p>
        </w:tc>
        <w:tc>
          <w:tcPr>
            <w:tcW w:w="1803" w:type="dxa"/>
            <w:hideMark/>
          </w:tcPr>
          <w:p w:rsidR="00E64D0D" w:rsidRPr="006E1E85" w:rsidRDefault="00E64D0D" w:rsidP="00F31649">
            <w:pPr>
              <w:ind w:left="0" w:hanging="2"/>
              <w:rPr>
                <w:rFonts w:asciiTheme="majorHAnsi" w:hAnsiTheme="majorHAnsi" w:cstheme="majorHAnsi"/>
                <w:szCs w:val="24"/>
              </w:rPr>
            </w:pPr>
            <w:r w:rsidRPr="006E1E85">
              <w:rPr>
                <w:rFonts w:asciiTheme="majorHAnsi" w:hAnsiTheme="majorHAnsi" w:cstheme="majorHAnsi"/>
                <w:szCs w:val="24"/>
              </w:rPr>
              <w:t>Integrates unity, sovereignty, prosperity, and progress; strengthens social bond between citizens and state.</w:t>
            </w:r>
          </w:p>
        </w:tc>
      </w:tr>
    </w:tbl>
    <w:p w:rsidR="004F09E2" w:rsidRPr="006E1E85" w:rsidRDefault="003E1121" w:rsidP="003E1121">
      <w:pPr>
        <w:ind w:left="0" w:hanging="2"/>
        <w:jc w:val="center"/>
        <w:rPr>
          <w:rFonts w:asciiTheme="majorHAnsi" w:hAnsiTheme="majorHAnsi" w:cstheme="majorHAnsi"/>
          <w:szCs w:val="24"/>
        </w:rPr>
      </w:pPr>
      <w:r w:rsidRPr="006E1E85">
        <w:rPr>
          <w:rFonts w:asciiTheme="majorHAnsi" w:hAnsiTheme="majorHAnsi" w:cstheme="majorHAnsi"/>
          <w:szCs w:val="24"/>
        </w:rPr>
        <w:lastRenderedPageBreak/>
        <w:t xml:space="preserve">Table 2. Analysis of Indonesian Independence Day Slogans (2015–2025) </w:t>
      </w:r>
    </w:p>
    <w:p w:rsidR="00665334" w:rsidRDefault="003E1121" w:rsidP="003E1121">
      <w:pPr>
        <w:ind w:left="0" w:hanging="2"/>
        <w:jc w:val="center"/>
        <w:rPr>
          <w:rFonts w:asciiTheme="majorHAnsi" w:hAnsiTheme="majorHAnsi" w:cstheme="majorHAnsi"/>
          <w:szCs w:val="24"/>
        </w:rPr>
      </w:pPr>
      <w:r w:rsidRPr="006E1E85">
        <w:rPr>
          <w:rFonts w:asciiTheme="majorHAnsi" w:hAnsiTheme="majorHAnsi" w:cstheme="majorHAnsi"/>
          <w:szCs w:val="24"/>
        </w:rPr>
        <w:t xml:space="preserve">Using Halliday’s Interpersonal </w:t>
      </w:r>
      <w:proofErr w:type="spellStart"/>
      <w:r w:rsidRPr="006E1E85">
        <w:rPr>
          <w:rFonts w:asciiTheme="majorHAnsi" w:hAnsiTheme="majorHAnsi" w:cstheme="majorHAnsi"/>
          <w:szCs w:val="24"/>
        </w:rPr>
        <w:t>Metafunction</w:t>
      </w:r>
      <w:proofErr w:type="spellEnd"/>
    </w:p>
    <w:p w:rsidR="00D609C9" w:rsidRPr="006E1E85" w:rsidRDefault="00D609C9" w:rsidP="003E1121">
      <w:pPr>
        <w:ind w:left="0" w:hanging="2"/>
        <w:jc w:val="center"/>
        <w:rPr>
          <w:rFonts w:asciiTheme="majorHAnsi" w:hAnsiTheme="majorHAnsi" w:cstheme="majorHAnsi"/>
          <w:szCs w:val="24"/>
        </w:rPr>
      </w:pPr>
    </w:p>
    <w:p w:rsidR="00E64D0D" w:rsidRPr="00876664" w:rsidRDefault="00E64D0D" w:rsidP="006E1E85">
      <w:pPr>
        <w:pStyle w:val="NormalWeb"/>
        <w:spacing w:before="0" w:beforeAutospacing="0" w:after="0" w:afterAutospacing="0"/>
        <w:ind w:left="0" w:hanging="2"/>
        <w:jc w:val="both"/>
        <w:rPr>
          <w:rFonts w:asciiTheme="majorHAnsi" w:hAnsiTheme="majorHAnsi" w:cstheme="majorHAnsi"/>
        </w:rPr>
      </w:pPr>
      <w:r w:rsidRPr="00877F28">
        <w:rPr>
          <w:rFonts w:asciiTheme="majorHAnsi" w:hAnsiTheme="majorHAnsi" w:cstheme="majorHAnsi"/>
        </w:rPr>
        <w:t xml:space="preserve">As shown in </w:t>
      </w:r>
      <w:r w:rsidRPr="006E1E85">
        <w:rPr>
          <w:rStyle w:val="Strong"/>
          <w:rFonts w:asciiTheme="majorHAnsi" w:hAnsiTheme="majorHAnsi" w:cstheme="majorHAnsi"/>
          <w:b w:val="0"/>
        </w:rPr>
        <w:t>Table 2</w:t>
      </w:r>
      <w:r w:rsidRPr="00877F28">
        <w:rPr>
          <w:rFonts w:asciiTheme="majorHAnsi" w:hAnsiTheme="majorHAnsi" w:cstheme="majorHAnsi"/>
        </w:rPr>
        <w:t xml:space="preserve">, the Indonesian Independence Day slogans from the 70th to the 80th anniversary demonstrate a dynamic interplay of linguistic strategies that can be understood through the lens of the interpersonal </w:t>
      </w:r>
      <w:proofErr w:type="spellStart"/>
      <w:r w:rsidRPr="00877F28">
        <w:rPr>
          <w:rFonts w:asciiTheme="majorHAnsi" w:hAnsiTheme="majorHAnsi" w:cstheme="majorHAnsi"/>
        </w:rPr>
        <w:t>metafunction</w:t>
      </w:r>
      <w:proofErr w:type="spellEnd"/>
      <w:r w:rsidRPr="00877F28">
        <w:rPr>
          <w:rFonts w:asciiTheme="majorHAnsi" w:hAnsiTheme="majorHAnsi" w:cstheme="majorHAnsi"/>
        </w:rPr>
        <w:t>. Each slogan functions not only as a symbolic commemoration of independence but also as a linguistic tool to negotiate power, construct solidarity, and shape collective identity between the government and its citizens. At the same time, the semantic dimension—both explicit and implicit meanings—further strengthens the slogans’ persuasive power, offering a richer perspective on how language functions ideologically.</w:t>
      </w:r>
      <w:r w:rsidR="00876664">
        <w:rPr>
          <w:rFonts w:asciiTheme="majorHAnsi" w:hAnsiTheme="majorHAnsi" w:cstheme="majorHAnsi"/>
        </w:rPr>
        <w:t xml:space="preserve"> </w:t>
      </w:r>
      <w:r w:rsidR="00876664" w:rsidRPr="00876664">
        <w:rPr>
          <w:rFonts w:asciiTheme="majorHAnsi" w:hAnsiTheme="majorHAnsi" w:cstheme="majorHAnsi"/>
        </w:rPr>
        <w:t>Language is shaped by its cultural environment, and shifts within society often bring changes in how it is used in public discourse</w:t>
      </w:r>
      <w:r w:rsidR="00876664">
        <w:rPr>
          <w:rFonts w:asciiTheme="majorHAnsi" w:hAnsiTheme="majorHAnsi" w:cstheme="majorHAnsi"/>
        </w:rPr>
        <w:t xml:space="preserve"> </w:t>
      </w:r>
      <w:r w:rsidR="00876664">
        <w:rPr>
          <w:rFonts w:asciiTheme="majorHAnsi" w:hAnsiTheme="majorHAnsi" w:cstheme="majorHAnsi"/>
        </w:rPr>
        <w:fldChar w:fldCharType="begin" w:fldLock="1"/>
      </w:r>
      <w:r w:rsidR="0075350E">
        <w:rPr>
          <w:rFonts w:asciiTheme="majorHAnsi" w:hAnsiTheme="majorHAnsi" w:cstheme="majorHAnsi"/>
        </w:rPr>
        <w:instrText>ADDIN CSL_CITATION {"citationItems":[{"id":"ITEM-1","itemData":{"author":[{"dropping-particle":"","family":"Muhtadi","given":"Ryan","non-dropping-particle":"","parse-names":false,"suffix":""},{"dropping-particle":"","family":"Situmorang","given":"Agha","non-dropping-particle":"","parse-names":false,"suffix":""},{"dropping-particle":"","family":"Maisaroh","given":"Ajeng Dilla","non-dropping-particle":"","parse-names":false,"suffix":""},{"dropping-particle":"","family":"Aulia","given":"Delvi","non-dropping-particle":"","parse-names":false,"suffix":""},{"dropping-particle":"","family":"Sitorus","given":"Jenica Br","non-dropping-particle":"","parse-names":false,"suffix":""},{"dropping-particle":"","family":"Murni","given":"Sri Minda","non-dropping-particle":"","parse-names":false,"suffix":""},{"dropping-particle":"","family":"Tambunan","given":"Anna Riana","non-dropping-particle":"","parse-names":false,"suffix":""}],"id":"ITEM-1","issue":"1","issued":{"date-parts":[["2025"]]},"page":"193-203","title":"Language Identity and Cultural Integration Among Rural-to-Urban University Students","type":"article-journal","volume":"9"},"uris":["http://www.mendeley.com/documents/?uuid=6f708e39-8fe3-4010-9560-9914790c57b3"]}],"mendeley":{"formattedCitation":"(Muhtadi et al., 2025)","plainTextFormattedCitation":"(Muhtadi et al., 2025)","previouslyFormattedCitation":"(Muhtadi et al., 2025)"},"properties":{"noteIndex":0},"schema":"https://github.com/citation-style-language/schema/raw/master/csl-citation.json"}</w:instrText>
      </w:r>
      <w:r w:rsidR="00876664">
        <w:rPr>
          <w:rFonts w:asciiTheme="majorHAnsi" w:hAnsiTheme="majorHAnsi" w:cstheme="majorHAnsi"/>
        </w:rPr>
        <w:fldChar w:fldCharType="separate"/>
      </w:r>
      <w:r w:rsidR="00876664" w:rsidRPr="00876664">
        <w:rPr>
          <w:rFonts w:asciiTheme="majorHAnsi" w:hAnsiTheme="majorHAnsi" w:cstheme="majorHAnsi"/>
          <w:noProof/>
        </w:rPr>
        <w:t>(Muhtadi et al., 2025)</w:t>
      </w:r>
      <w:r w:rsidR="00876664">
        <w:rPr>
          <w:rFonts w:asciiTheme="majorHAnsi" w:hAnsiTheme="majorHAnsi" w:cstheme="majorHAnsi"/>
        </w:rPr>
        <w:fldChar w:fldCharType="end"/>
      </w:r>
      <w:r w:rsidR="00876664" w:rsidRPr="00876664">
        <w:rPr>
          <w:rFonts w:asciiTheme="majorHAnsi" w:hAnsiTheme="majorHAnsi" w:cstheme="majorHAnsi"/>
        </w:rPr>
        <w:t>. This is evident in digital communication, where speakers may begin with casual, localized expressions but gradually modify their style to fit wider conventions. In a similar way, national slogans evolve alongside cultural transformations, maintaining their relevance while continuing to carry significant ideological meaning.</w:t>
      </w:r>
    </w:p>
    <w:p w:rsidR="00E64D0D" w:rsidRPr="00877F28" w:rsidRDefault="00E64D0D" w:rsidP="006E1E85">
      <w:pPr>
        <w:pStyle w:val="NormalWeb"/>
        <w:spacing w:before="0" w:beforeAutospacing="0" w:after="0" w:afterAutospacing="0"/>
        <w:ind w:left="0" w:hanging="2"/>
        <w:jc w:val="both"/>
        <w:rPr>
          <w:rFonts w:asciiTheme="majorHAnsi" w:hAnsiTheme="majorHAnsi" w:cstheme="majorHAnsi"/>
        </w:rPr>
      </w:pPr>
      <w:r w:rsidRPr="00877F28">
        <w:rPr>
          <w:rFonts w:asciiTheme="majorHAnsi" w:hAnsiTheme="majorHAnsi" w:cstheme="majorHAnsi"/>
        </w:rPr>
        <w:t>The historical trajectory of these slogans cannot be detached from Indonesia’s broader sociopolitical context. Following the country’s independence in 1945, the narrative of nation-building has always emphasized unity (</w:t>
      </w:r>
      <w:proofErr w:type="spellStart"/>
      <w:r w:rsidRPr="00877F28">
        <w:rPr>
          <w:rStyle w:val="Emphasis"/>
          <w:rFonts w:asciiTheme="majorHAnsi" w:hAnsiTheme="majorHAnsi" w:cstheme="majorHAnsi"/>
        </w:rPr>
        <w:t>persatuan</w:t>
      </w:r>
      <w:proofErr w:type="spellEnd"/>
      <w:r w:rsidRPr="00877F28">
        <w:rPr>
          <w:rFonts w:asciiTheme="majorHAnsi" w:hAnsiTheme="majorHAnsi" w:cstheme="majorHAnsi"/>
        </w:rPr>
        <w:t>), sovereignty (</w:t>
      </w:r>
      <w:proofErr w:type="spellStart"/>
      <w:r w:rsidRPr="00877F28">
        <w:rPr>
          <w:rStyle w:val="Emphasis"/>
          <w:rFonts w:asciiTheme="majorHAnsi" w:hAnsiTheme="majorHAnsi" w:cstheme="majorHAnsi"/>
        </w:rPr>
        <w:t>kedaulatan</w:t>
      </w:r>
      <w:proofErr w:type="spellEnd"/>
      <w:r w:rsidRPr="00877F28">
        <w:rPr>
          <w:rFonts w:asciiTheme="majorHAnsi" w:hAnsiTheme="majorHAnsi" w:cstheme="majorHAnsi"/>
        </w:rPr>
        <w:t>), and development (</w:t>
      </w:r>
      <w:proofErr w:type="spellStart"/>
      <w:r w:rsidRPr="00877F28">
        <w:rPr>
          <w:rStyle w:val="Emphasis"/>
          <w:rFonts w:asciiTheme="majorHAnsi" w:hAnsiTheme="majorHAnsi" w:cstheme="majorHAnsi"/>
        </w:rPr>
        <w:t>pembangunan</w:t>
      </w:r>
      <w:proofErr w:type="spellEnd"/>
      <w:r w:rsidRPr="00877F28">
        <w:rPr>
          <w:rFonts w:asciiTheme="majorHAnsi" w:hAnsiTheme="majorHAnsi" w:cstheme="majorHAnsi"/>
        </w:rPr>
        <w:t xml:space="preserve">). By the time of the 70th anniversary in 2015, Indonesia was entering a new era marked by democratization, decentralization, and global integration. Slogans such as </w:t>
      </w:r>
      <w:r w:rsidRPr="00877F28">
        <w:rPr>
          <w:rStyle w:val="Emphasis"/>
          <w:rFonts w:asciiTheme="majorHAnsi" w:hAnsiTheme="majorHAnsi" w:cstheme="majorHAnsi"/>
        </w:rPr>
        <w:t>“Let’s Work”</w:t>
      </w:r>
      <w:r w:rsidRPr="00877F28">
        <w:rPr>
          <w:rFonts w:asciiTheme="majorHAnsi" w:hAnsiTheme="majorHAnsi" w:cstheme="majorHAnsi"/>
        </w:rPr>
        <w:t xml:space="preserve"> and </w:t>
      </w:r>
      <w:r w:rsidRPr="00877F28">
        <w:rPr>
          <w:rStyle w:val="Emphasis"/>
          <w:rFonts w:asciiTheme="majorHAnsi" w:hAnsiTheme="majorHAnsi" w:cstheme="majorHAnsi"/>
        </w:rPr>
        <w:t>“Real Work”</w:t>
      </w:r>
      <w:r w:rsidRPr="00877F28">
        <w:rPr>
          <w:rFonts w:asciiTheme="majorHAnsi" w:hAnsiTheme="majorHAnsi" w:cstheme="majorHAnsi"/>
        </w:rPr>
        <w:t xml:space="preserve"> reflected the government’s historical concern with combating corruption, inefficiency, and stagnation—issues deeply rooted in Indonesia’s post-reform experience. The explicit message of productivity and hard work implicitly echoed the unfinished project of national development since the New Order era, signaling continuity between the past struggle for independence and the present struggle for progress.</w:t>
      </w:r>
    </w:p>
    <w:p w:rsidR="00E64D0D" w:rsidRPr="004531FE" w:rsidRDefault="00E64D0D" w:rsidP="006E1E85">
      <w:pPr>
        <w:pStyle w:val="NormalWeb"/>
        <w:spacing w:before="0" w:beforeAutospacing="0" w:after="0" w:afterAutospacing="0"/>
        <w:ind w:left="0" w:hanging="2"/>
        <w:jc w:val="both"/>
        <w:rPr>
          <w:rFonts w:asciiTheme="majorHAnsi" w:hAnsiTheme="majorHAnsi" w:cstheme="majorHAnsi"/>
        </w:rPr>
      </w:pPr>
      <w:r w:rsidRPr="00877F28">
        <w:rPr>
          <w:rFonts w:asciiTheme="majorHAnsi" w:hAnsiTheme="majorHAnsi" w:cstheme="majorHAnsi"/>
        </w:rPr>
        <w:t xml:space="preserve">Similarly, slogans like </w:t>
      </w:r>
      <w:r w:rsidRPr="00877F28">
        <w:rPr>
          <w:rStyle w:val="Emphasis"/>
          <w:rFonts w:asciiTheme="majorHAnsi" w:hAnsiTheme="majorHAnsi" w:cstheme="majorHAnsi"/>
        </w:rPr>
        <w:t>“Superior Human Resources, an Advanced Indonesia”</w:t>
      </w:r>
      <w:r w:rsidRPr="00877F28">
        <w:rPr>
          <w:rFonts w:asciiTheme="majorHAnsi" w:hAnsiTheme="majorHAnsi" w:cstheme="majorHAnsi"/>
        </w:rPr>
        <w:t xml:space="preserve"> and </w:t>
      </w:r>
      <w:r w:rsidRPr="00877F28">
        <w:rPr>
          <w:rStyle w:val="Emphasis"/>
          <w:rFonts w:asciiTheme="majorHAnsi" w:hAnsiTheme="majorHAnsi" w:cstheme="majorHAnsi"/>
        </w:rPr>
        <w:t>“Indonesia Advances”</w:t>
      </w:r>
      <w:r w:rsidRPr="00877F28">
        <w:rPr>
          <w:rFonts w:asciiTheme="majorHAnsi" w:hAnsiTheme="majorHAnsi" w:cstheme="majorHAnsi"/>
        </w:rPr>
        <w:t xml:space="preserve"> resonate with Indonesia’s long-term vision toward 2045, the centenary of independence. Explicitly, these slogans highlight human capital, technological progress, and resilience. Implicitly, they align the citizens’ role with the state’s mission to transform Indonesia into one of the world’s top five economies by 2045, as articulated in the national vision of “Indonesia </w:t>
      </w:r>
      <w:proofErr w:type="spellStart"/>
      <w:r w:rsidRPr="00877F28">
        <w:rPr>
          <w:rFonts w:asciiTheme="majorHAnsi" w:hAnsiTheme="majorHAnsi" w:cstheme="majorHAnsi"/>
        </w:rPr>
        <w:t>Emas</w:t>
      </w:r>
      <w:proofErr w:type="spellEnd"/>
      <w:r w:rsidRPr="00877F28">
        <w:rPr>
          <w:rFonts w:asciiTheme="majorHAnsi" w:hAnsiTheme="majorHAnsi" w:cstheme="majorHAnsi"/>
        </w:rPr>
        <w:t xml:space="preserve">.” The choice of declarative forms in these slogans functions as a projection of certainty: advancement is not a possibility but a fact in the making. This aligns with historical narratives of independence, where proclamations themselves served as </w:t>
      </w:r>
      <w:proofErr w:type="spellStart"/>
      <w:r w:rsidRPr="00877F28">
        <w:rPr>
          <w:rFonts w:asciiTheme="majorHAnsi" w:hAnsiTheme="majorHAnsi" w:cstheme="majorHAnsi"/>
        </w:rPr>
        <w:t>performative</w:t>
      </w:r>
      <w:proofErr w:type="spellEnd"/>
      <w:r w:rsidRPr="00877F28">
        <w:rPr>
          <w:rFonts w:asciiTheme="majorHAnsi" w:hAnsiTheme="majorHAnsi" w:cstheme="majorHAnsi"/>
        </w:rPr>
        <w:t xml:space="preserve"> speech acts that did not merely describe but also enact sovereignty.</w:t>
      </w:r>
      <w:r w:rsidR="004531FE">
        <w:rPr>
          <w:rFonts w:asciiTheme="majorHAnsi" w:hAnsiTheme="majorHAnsi" w:cstheme="majorHAnsi"/>
        </w:rPr>
        <w:t xml:space="preserve"> </w:t>
      </w:r>
      <w:r w:rsidR="004531FE" w:rsidRPr="004531FE">
        <w:rPr>
          <w:rFonts w:asciiTheme="majorHAnsi" w:hAnsiTheme="majorHAnsi" w:cstheme="majorHAnsi"/>
        </w:rPr>
        <w:t>At the same time, it is important to note that in many societies, certain utterances are deliberately avoided in public discourse because they may violate social norms or cause discomfort; yet, in specific contexts, speakers may intentionally employ such expressions to provoke or challenge, revealing the dual capacity of language to unify or to disrupt</w:t>
      </w:r>
      <w:r w:rsidR="004531FE">
        <w:rPr>
          <w:rFonts w:asciiTheme="majorHAnsi" w:hAnsiTheme="majorHAnsi" w:cstheme="majorHAnsi"/>
        </w:rPr>
        <w:t xml:space="preserve"> </w:t>
      </w:r>
      <w:r w:rsidR="004531FE">
        <w:rPr>
          <w:rFonts w:asciiTheme="majorHAnsi" w:hAnsiTheme="majorHAnsi" w:cstheme="majorHAnsi"/>
        </w:rPr>
        <w:fldChar w:fldCharType="begin" w:fldLock="1"/>
      </w:r>
      <w:r w:rsidR="004531FE">
        <w:rPr>
          <w:rFonts w:asciiTheme="majorHAnsi" w:hAnsiTheme="majorHAnsi" w:cstheme="majorHAnsi"/>
        </w:rPr>
        <w:instrText>ADDIN CSL_CITATION {"citationItems":[{"id":"ITEM-1","itemData":{"DOI":"10.30743/ll.v9i1.11265","ISSN":"2580-8672","abstract":"Understanding the translation of taboo speech acts in audiovisual media is essential, particularly in contexts involving differing cultural norms and values. This study analyzes the translation strategies used to render taboo speech acts from Arabic into Indonesian in the Omar series. A descriptive qualitative approach was adopted using an embedded case study design. The data comprise 26 Arabic taboo utterances and their corresponding Indonesian subtitles. These utterances were categorized into nine types based on Jay’s (2009) typology, with the most frequent being insults related to perceived psychological, physical, or social deviations (19.2%). The translation techniques were examined using Molina and Albir’s (2002) framework, which revealed that reduction (25%) was the most applied strategy. A combination of single, double, and triple-technique applications was also observed across the dataset. These findings suggest that subtitles prioritize cultural acceptability over literal equivalence, employing strategies that mitigate potential offense while preserving the communicative intent of the source text.","author":[{"dropping-particle":"","family":"Solihat","given":"Siti Roisah","non-dropping-particle":"","parse-names":false,"suffix":""},{"dropping-particle":"","family":"Farisi","given":"Mohamad Zaka","non-dropping-particle":"Al","parse-names":false,"suffix":""},{"dropping-particle":"","family":"Saleh","given":"Nalahuddin","non-dropping-particle":"","parse-names":false,"suffix":""}],"container-title":"Language Literacy: Journal of Linguistics, Literature, and Language Teaching","id":"ITEM-1","issue":"1","issued":{"date-parts":[["2025"]]},"page":"255-268","title":"Translating Taboo Speech Act in the Omar Series: a Pragmatic and Technique-Based Analysis of Arabic-Indonesian Subtitles","type":"article-journal","volume":"9"},"uris":["http://www.mendeley.com/documents/?uuid=fbc44ddb-4363-40e7-beec-16dabb398169"]}],"mendeley":{"formattedCitation":"(Solihat et al., 2025)","plainTextFormattedCitation":"(Solihat et al., 2025)","previouslyFormattedCitation":"(Solihat et al., 2025)"},"properties":{"noteIndex":0},"schema":"https://github.com/citation-style-language/schema/raw/master/csl-citation.json"}</w:instrText>
      </w:r>
      <w:r w:rsidR="004531FE">
        <w:rPr>
          <w:rFonts w:asciiTheme="majorHAnsi" w:hAnsiTheme="majorHAnsi" w:cstheme="majorHAnsi"/>
        </w:rPr>
        <w:fldChar w:fldCharType="separate"/>
      </w:r>
      <w:r w:rsidR="004531FE" w:rsidRPr="004531FE">
        <w:rPr>
          <w:rFonts w:asciiTheme="majorHAnsi" w:hAnsiTheme="majorHAnsi" w:cstheme="majorHAnsi"/>
          <w:noProof/>
        </w:rPr>
        <w:t>(Solihat et al., 2025)</w:t>
      </w:r>
      <w:r w:rsidR="004531FE">
        <w:rPr>
          <w:rFonts w:asciiTheme="majorHAnsi" w:hAnsiTheme="majorHAnsi" w:cstheme="majorHAnsi"/>
        </w:rPr>
        <w:fldChar w:fldCharType="end"/>
      </w:r>
      <w:r w:rsidR="004531FE" w:rsidRPr="004531FE">
        <w:rPr>
          <w:rFonts w:asciiTheme="majorHAnsi" w:hAnsiTheme="majorHAnsi" w:cstheme="majorHAnsi"/>
        </w:rPr>
        <w:t>.</w:t>
      </w:r>
    </w:p>
    <w:p w:rsidR="00E64D0D" w:rsidRPr="004531FE" w:rsidRDefault="00E64D0D" w:rsidP="006E1E85">
      <w:pPr>
        <w:pStyle w:val="NormalWeb"/>
        <w:spacing w:before="0" w:beforeAutospacing="0" w:after="0" w:afterAutospacing="0"/>
        <w:ind w:left="0" w:hanging="2"/>
        <w:jc w:val="both"/>
        <w:rPr>
          <w:rFonts w:asciiTheme="majorHAnsi" w:hAnsiTheme="majorHAnsi" w:cstheme="majorHAnsi"/>
        </w:rPr>
      </w:pPr>
      <w:r w:rsidRPr="00877F28">
        <w:rPr>
          <w:rFonts w:asciiTheme="majorHAnsi" w:hAnsiTheme="majorHAnsi" w:cstheme="majorHAnsi"/>
        </w:rPr>
        <w:t xml:space="preserve">Other slogans foreground collective resilience in the face of crises, such as </w:t>
      </w:r>
      <w:r w:rsidRPr="00877F28">
        <w:rPr>
          <w:rStyle w:val="Emphasis"/>
          <w:rFonts w:asciiTheme="majorHAnsi" w:hAnsiTheme="majorHAnsi" w:cstheme="majorHAnsi"/>
        </w:rPr>
        <w:t>“Recover Faster, Rise Stronger.”</w:t>
      </w:r>
      <w:r w:rsidRPr="00877F28">
        <w:rPr>
          <w:rFonts w:asciiTheme="majorHAnsi" w:hAnsiTheme="majorHAnsi" w:cstheme="majorHAnsi"/>
        </w:rPr>
        <w:t xml:space="preserve"> Explicitly, this slogan addresses the COVID-19 pandemic and its socio-economic aftermath. Implicitly, it draws upon a much longer history of Indonesian endurance, from colonial oppression and economic downturns to natural disasters. The interpersonal </w:t>
      </w:r>
      <w:proofErr w:type="spellStart"/>
      <w:r w:rsidRPr="00877F28">
        <w:rPr>
          <w:rFonts w:asciiTheme="majorHAnsi" w:hAnsiTheme="majorHAnsi" w:cstheme="majorHAnsi"/>
        </w:rPr>
        <w:t>metafunction</w:t>
      </w:r>
      <w:proofErr w:type="spellEnd"/>
      <w:r w:rsidRPr="00877F28">
        <w:rPr>
          <w:rFonts w:asciiTheme="majorHAnsi" w:hAnsiTheme="majorHAnsi" w:cstheme="majorHAnsi"/>
        </w:rPr>
        <w:t xml:space="preserve"> here is persuasive and empathetic, projecting solidarity between the state and </w:t>
      </w:r>
      <w:r w:rsidRPr="00877F28">
        <w:rPr>
          <w:rFonts w:asciiTheme="majorHAnsi" w:hAnsiTheme="majorHAnsi" w:cstheme="majorHAnsi"/>
        </w:rPr>
        <w:lastRenderedPageBreak/>
        <w:t>citizens while reinforcing the idea that resilience is a core trait of the Indonesian nation. This duality of explicit recovery and implicit historical resilience demonstrates how language binds present challenges to past experiences, ensuring continuity in the nation’s self-concept.</w:t>
      </w:r>
      <w:r w:rsidR="004531FE">
        <w:rPr>
          <w:rFonts w:asciiTheme="majorHAnsi" w:hAnsiTheme="majorHAnsi" w:cstheme="majorHAnsi"/>
        </w:rPr>
        <w:t xml:space="preserve"> </w:t>
      </w:r>
      <w:r w:rsidR="004531FE" w:rsidRPr="004531FE">
        <w:rPr>
          <w:rFonts w:asciiTheme="majorHAnsi" w:hAnsiTheme="majorHAnsi" w:cstheme="majorHAnsi"/>
        </w:rPr>
        <w:t>This process also reflects the close and inseparable relationship between language and culture: while culture shapes collective ways of thinking, language serves as the vehicle that communicates and strengthens these cultural values</w:t>
      </w:r>
      <w:r w:rsidR="004531FE">
        <w:rPr>
          <w:rFonts w:asciiTheme="majorHAnsi" w:hAnsiTheme="majorHAnsi" w:cstheme="majorHAnsi"/>
        </w:rPr>
        <w:t xml:space="preserve"> </w:t>
      </w:r>
      <w:r w:rsidR="004531FE">
        <w:rPr>
          <w:rFonts w:asciiTheme="majorHAnsi" w:hAnsiTheme="majorHAnsi" w:cstheme="majorHAnsi"/>
        </w:rPr>
        <w:fldChar w:fldCharType="begin" w:fldLock="1"/>
      </w:r>
      <w:r w:rsidR="00876664">
        <w:rPr>
          <w:rFonts w:asciiTheme="majorHAnsi" w:hAnsiTheme="majorHAnsi" w:cstheme="majorHAnsi"/>
        </w:rPr>
        <w:instrText>ADDIN CSL_CITATION {"citationItems":[{"id":"ITEM-1","itemData":{"DOI":"10.30743/ll.v9i1.10456","ISSN":"2580-8672","abstract":"This research aims to classify taboo language expressions in Asahan Malay. The phenomenon of taboo language is important to study as an effort to maintain local wisdom. This research used a qualitative method with an ethnolinguistic approach. The location of this research is in Tanjungbalai, North Sumatera. The research data comes from the speech of native Asahan Malay speakers, research instruments in the form of interview guides, recordings and field notes. The data collection method is the field observation method. The results of the research show that there are two types of taboo expressions in Asahan Malay. The first one is general taboo, namely words that are lexically classified as taboo because they include words related to sex (15 data), bodily waste (7 data), cursing or cursing (9 data) as well as insults and demeaning (26 data), while the second one is special taboo, namely words that are not literally/lexically taboo but are considered taboo by Asahan Malay speakers because they are interpreted from a cultural perspective, namely consisting of words that are considered to bring harm (10 data) and are considered impolite (1 data).","author":[{"dropping-particle":"","family":"Sari","given":"Etika","non-dropping-particle":"","parse-names":false,"suffix":""},{"dropping-particle":"","family":"Mulyadi","given":"Mulyadi","non-dropping-particle":"","parse-names":false,"suffix":""},{"dropping-particle":"","family":"Zulfan","given":"Zulfan","non-dropping-particle":"","parse-names":false,"suffix":""}],"container-title":"Language Literacy: Journal of Linguistics, Literature, and Language Teaching","id":"ITEM-1","issue":"1","issued":{"date-parts":[["2025"]]},"page":"216-226","title":"Taboo Expressions in Asahan Malay: an Ethnolinguistic Approach","type":"article-journal","volume":"9"},"uris":["http://www.mendeley.com/documents/?uuid=3f686e0a-9260-411e-90c8-0cb917b4ce91"]}],"mendeley":{"formattedCitation":"(Sari et al., 2025)","plainTextFormattedCitation":"(Sari et al., 2025)","previouslyFormattedCitation":"(Sari et al., 2025)"},"properties":{"noteIndex":0},"schema":"https://github.com/citation-style-language/schema/raw/master/csl-citation.json"}</w:instrText>
      </w:r>
      <w:r w:rsidR="004531FE">
        <w:rPr>
          <w:rFonts w:asciiTheme="majorHAnsi" w:hAnsiTheme="majorHAnsi" w:cstheme="majorHAnsi"/>
        </w:rPr>
        <w:fldChar w:fldCharType="separate"/>
      </w:r>
      <w:r w:rsidR="004531FE" w:rsidRPr="004531FE">
        <w:rPr>
          <w:rFonts w:asciiTheme="majorHAnsi" w:hAnsiTheme="majorHAnsi" w:cstheme="majorHAnsi"/>
          <w:noProof/>
        </w:rPr>
        <w:t>(Sari et al., 2025)</w:t>
      </w:r>
      <w:r w:rsidR="004531FE">
        <w:rPr>
          <w:rFonts w:asciiTheme="majorHAnsi" w:hAnsiTheme="majorHAnsi" w:cstheme="majorHAnsi"/>
        </w:rPr>
        <w:fldChar w:fldCharType="end"/>
      </w:r>
      <w:r w:rsidR="004531FE" w:rsidRPr="004531FE">
        <w:rPr>
          <w:rFonts w:asciiTheme="majorHAnsi" w:hAnsiTheme="majorHAnsi" w:cstheme="majorHAnsi"/>
        </w:rPr>
        <w:t>. In the Indonesian context, such slogans not only convey governmental messages but also embody deeply rooted cultural notions of solidarity and endurance.</w:t>
      </w:r>
    </w:p>
    <w:p w:rsidR="00E64D0D" w:rsidRPr="00877F28" w:rsidRDefault="00E64D0D" w:rsidP="006E1E85">
      <w:pPr>
        <w:pStyle w:val="NormalWeb"/>
        <w:spacing w:before="0" w:beforeAutospacing="0" w:after="0" w:afterAutospacing="0"/>
        <w:ind w:left="0" w:hanging="2"/>
        <w:jc w:val="both"/>
        <w:rPr>
          <w:rFonts w:asciiTheme="majorHAnsi" w:hAnsiTheme="majorHAnsi" w:cstheme="majorHAnsi"/>
        </w:rPr>
      </w:pPr>
      <w:r w:rsidRPr="00877F28">
        <w:rPr>
          <w:rFonts w:asciiTheme="majorHAnsi" w:hAnsiTheme="majorHAnsi" w:cstheme="majorHAnsi"/>
        </w:rPr>
        <w:t xml:space="preserve">The latest slogans, such as </w:t>
      </w:r>
      <w:r w:rsidRPr="00877F28">
        <w:rPr>
          <w:rStyle w:val="Emphasis"/>
          <w:rFonts w:asciiTheme="majorHAnsi" w:hAnsiTheme="majorHAnsi" w:cstheme="majorHAnsi"/>
        </w:rPr>
        <w:t>“New Nusantara, New Indonesia”</w:t>
      </w:r>
      <w:r w:rsidRPr="00877F28">
        <w:rPr>
          <w:rFonts w:asciiTheme="majorHAnsi" w:hAnsiTheme="majorHAnsi" w:cstheme="majorHAnsi"/>
        </w:rPr>
        <w:t xml:space="preserve"> and </w:t>
      </w:r>
      <w:r w:rsidRPr="00877F28">
        <w:rPr>
          <w:rStyle w:val="Emphasis"/>
          <w:rFonts w:asciiTheme="majorHAnsi" w:hAnsiTheme="majorHAnsi" w:cstheme="majorHAnsi"/>
        </w:rPr>
        <w:t>“United and Sovereign, Prosperous People, Advanced Indonesia”</w:t>
      </w:r>
      <w:r w:rsidRPr="00877F28">
        <w:rPr>
          <w:rFonts w:asciiTheme="majorHAnsi" w:hAnsiTheme="majorHAnsi" w:cstheme="majorHAnsi"/>
        </w:rPr>
        <w:t xml:space="preserve">, embody both historical identity and futuristic ambition. The reference to </w:t>
      </w:r>
      <w:r w:rsidRPr="00877F28">
        <w:rPr>
          <w:rStyle w:val="Emphasis"/>
          <w:rFonts w:asciiTheme="majorHAnsi" w:hAnsiTheme="majorHAnsi" w:cstheme="majorHAnsi"/>
        </w:rPr>
        <w:t>Nusantara</w:t>
      </w:r>
      <w:r w:rsidRPr="00877F28">
        <w:rPr>
          <w:rFonts w:asciiTheme="majorHAnsi" w:hAnsiTheme="majorHAnsi" w:cstheme="majorHAnsi"/>
        </w:rPr>
        <w:t xml:space="preserve"> explicitly situates Indonesia within its deep civilizational roots, while implicitly signaling the political project of relocating the national capital and redefining national identity for the 21st century. </w:t>
      </w:r>
      <w:r w:rsidR="0075350E" w:rsidRPr="0075350E">
        <w:rPr>
          <w:rFonts w:asciiTheme="majorHAnsi" w:hAnsiTheme="majorHAnsi" w:cstheme="majorHAnsi"/>
        </w:rPr>
        <w:t>The first reference also conveys a specific and localized nature, anchoring the slogans in a tangible cultural and geographical symbol that resonates strongly with citizens. By invoking Nusantara, the slogans avoid abstract generalizations and instead draw on a concrete national heritage, making the message more grounded and persuasive</w:t>
      </w:r>
      <w:r w:rsidR="0075350E">
        <w:rPr>
          <w:rFonts w:asciiTheme="majorHAnsi" w:hAnsiTheme="majorHAnsi" w:cstheme="majorHAnsi"/>
        </w:rPr>
        <w:t xml:space="preserve"> </w:t>
      </w:r>
      <w:r w:rsidR="0075350E">
        <w:rPr>
          <w:rFonts w:asciiTheme="majorHAnsi" w:hAnsiTheme="majorHAnsi" w:cstheme="majorHAnsi"/>
        </w:rPr>
        <w:fldChar w:fldCharType="begin" w:fldLock="1"/>
      </w:r>
      <w:r w:rsidR="0075350E">
        <w:rPr>
          <w:rFonts w:asciiTheme="majorHAnsi" w:hAnsiTheme="majorHAnsi" w:cstheme="majorHAnsi"/>
        </w:rPr>
        <w:instrText>ADDIN CSL_CITATION {"citationItems":[{"id":"ITEM-1","itemData":{"author":[{"dropping-particle":"","family":"Muhtadi","given":"Ryan","non-dropping-particle":"","parse-names":false,"suffix":""},{"dropping-particle":"","family":"Situmorang","given":"Agha","non-dropping-particle":"","parse-names":false,"suffix":""},{"dropping-particle":"","family":"Maisaroh","given":"Ajeng Dilla","non-dropping-particle":"","parse-names":false,"suffix":""},{"dropping-particle":"","family":"Aulia","given":"Delvi","non-dropping-particle":"","parse-names":false,"suffix":""},{"dropping-particle":"","family":"Sitorus","given":"Jenica Br","non-dropping-particle":"","parse-names":false,"suffix":""},{"dropping-particle":"","family":"Murni","given":"Sri Minda","non-dropping-particle":"","parse-names":false,"suffix":""},{"dropping-particle":"","family":"Tambunan","given":"Anna Riana","non-dropping-particle":"","parse-names":false,"suffix":""}],"id":"ITEM-1","issue":"1","issued":{"date-parts":[["2025"]]},"page":"193-203","title":"Language Identity and Cultural Integration Among Rural-to-Urban University Students","type":"article-journal","volume":"9"},"uris":["http://www.mendeley.com/documents/?uuid=6f708e39-8fe3-4010-9560-9914790c57b3"]}],"mendeley":{"formattedCitation":"(Muhtadi et al., 2025)","plainTextFormattedCitation":"(Muhtadi et al., 2025)","previouslyFormattedCitation":"(Muhtadi et al., 2025)"},"properties":{"noteIndex":0},"schema":"https://github.com/citation-style-language/schema/raw/master/csl-citation.json"}</w:instrText>
      </w:r>
      <w:r w:rsidR="0075350E">
        <w:rPr>
          <w:rFonts w:asciiTheme="majorHAnsi" w:hAnsiTheme="majorHAnsi" w:cstheme="majorHAnsi"/>
        </w:rPr>
        <w:fldChar w:fldCharType="separate"/>
      </w:r>
      <w:r w:rsidR="0075350E" w:rsidRPr="0075350E">
        <w:rPr>
          <w:rFonts w:asciiTheme="majorHAnsi" w:hAnsiTheme="majorHAnsi" w:cstheme="majorHAnsi"/>
          <w:noProof/>
        </w:rPr>
        <w:t>(Muhtadi et al., 2025)</w:t>
      </w:r>
      <w:r w:rsidR="0075350E">
        <w:rPr>
          <w:rFonts w:asciiTheme="majorHAnsi" w:hAnsiTheme="majorHAnsi" w:cstheme="majorHAnsi"/>
        </w:rPr>
        <w:fldChar w:fldCharType="end"/>
      </w:r>
      <w:r w:rsidR="0075350E" w:rsidRPr="0075350E">
        <w:rPr>
          <w:rFonts w:asciiTheme="majorHAnsi" w:hAnsiTheme="majorHAnsi" w:cstheme="majorHAnsi"/>
        </w:rPr>
        <w:t>.</w:t>
      </w:r>
      <w:r w:rsidR="0075350E">
        <w:rPr>
          <w:rFonts w:asciiTheme="majorHAnsi" w:hAnsiTheme="majorHAnsi" w:cstheme="majorHAnsi"/>
        </w:rPr>
        <w:t xml:space="preserve"> </w:t>
      </w:r>
      <w:r w:rsidRPr="00877F28">
        <w:rPr>
          <w:rFonts w:asciiTheme="majorHAnsi" w:hAnsiTheme="majorHAnsi" w:cstheme="majorHAnsi"/>
        </w:rPr>
        <w:t xml:space="preserve">This reflects a historical continuity: just as the 1945 Proclamation redefined Indonesia as a sovereign state, the idea of a </w:t>
      </w:r>
      <w:r w:rsidRPr="00877F28">
        <w:rPr>
          <w:rStyle w:val="Emphasis"/>
          <w:rFonts w:asciiTheme="majorHAnsi" w:hAnsiTheme="majorHAnsi" w:cstheme="majorHAnsi"/>
        </w:rPr>
        <w:t>New Nusantara</w:t>
      </w:r>
      <w:r w:rsidRPr="00877F28">
        <w:rPr>
          <w:rFonts w:asciiTheme="majorHAnsi" w:hAnsiTheme="majorHAnsi" w:cstheme="majorHAnsi"/>
        </w:rPr>
        <w:t xml:space="preserve"> seeks to redefine Indonesia’s geopolitical and developmental trajectory. The emphasis on unity, sovereignty, prosperity, and advancement directly mirrors the four pillars of Indonesia 2045—human development, economic growth, equity, and national resilience. In this sense, the interpersonal </w:t>
      </w:r>
      <w:proofErr w:type="spellStart"/>
      <w:r w:rsidRPr="00877F28">
        <w:rPr>
          <w:rFonts w:asciiTheme="majorHAnsi" w:hAnsiTheme="majorHAnsi" w:cstheme="majorHAnsi"/>
        </w:rPr>
        <w:t>metafunction</w:t>
      </w:r>
      <w:proofErr w:type="spellEnd"/>
      <w:r w:rsidRPr="00877F28">
        <w:rPr>
          <w:rFonts w:asciiTheme="majorHAnsi" w:hAnsiTheme="majorHAnsi" w:cstheme="majorHAnsi"/>
        </w:rPr>
        <w:t xml:space="preserve"> of these slogans operates not merely at the commemorative level but as an ongoing dialogue between the nation’s historical legacy and its future aspirations.</w:t>
      </w:r>
    </w:p>
    <w:p w:rsidR="00E64D0D" w:rsidRPr="0075350E" w:rsidRDefault="00E64D0D" w:rsidP="006E1E85">
      <w:pPr>
        <w:pStyle w:val="NormalWeb"/>
        <w:spacing w:before="0" w:beforeAutospacing="0" w:after="0" w:afterAutospacing="0"/>
        <w:ind w:left="0" w:hanging="2"/>
        <w:jc w:val="both"/>
        <w:rPr>
          <w:rFonts w:asciiTheme="majorHAnsi" w:hAnsiTheme="majorHAnsi" w:cstheme="majorHAnsi"/>
        </w:rPr>
      </w:pPr>
      <w:r w:rsidRPr="00877F28">
        <w:rPr>
          <w:rFonts w:asciiTheme="majorHAnsi" w:hAnsiTheme="majorHAnsi" w:cstheme="majorHAnsi"/>
        </w:rPr>
        <w:t>The importance of slogans lies in their ability to condense complex national visions into simple, memorable, and emotionally charged linguistic forms. Slogans operate as a bridge between political discourse and public consciousness, ensuring that citizens can internalize and reproduce the values articulated by the state. From a systemic functional perspective, slogans are powerful not only because of their semantic clarity but also because of their interpersonal function: they call for collective action, foster national unity, and affirm the legitimacy of the government’s agenda. Historically, Indonesian slogans have played a central role in mobilizing people—from revolutionary chants in 1945 to developmental mottos in the New Order and contemporary slogans that address globalization and modernization. In the context of the Independence Day, slogans acquire an even deeper meaning: they are annual reaffirmations of national identity, aspirations, and shared struggle.</w:t>
      </w:r>
      <w:r w:rsidR="0075350E">
        <w:rPr>
          <w:rFonts w:asciiTheme="majorHAnsi" w:hAnsiTheme="majorHAnsi" w:cstheme="majorHAnsi"/>
        </w:rPr>
        <w:t xml:space="preserve"> </w:t>
      </w:r>
      <w:r w:rsidR="0075350E" w:rsidRPr="0075350E">
        <w:rPr>
          <w:rFonts w:asciiTheme="majorHAnsi" w:hAnsiTheme="majorHAnsi" w:cstheme="majorHAnsi"/>
        </w:rPr>
        <w:t xml:space="preserve">At the same time, this study identifies certain limitations, particularly in cultural adaptation, idiomatic expression, and domain-specific terminology. These challenges highlight the need for careful interpretation, since the persuasive and empathetic force of slogans—the very essence of their interpersonal </w:t>
      </w:r>
      <w:proofErr w:type="spellStart"/>
      <w:r w:rsidR="0075350E" w:rsidRPr="0075350E">
        <w:rPr>
          <w:rFonts w:asciiTheme="majorHAnsi" w:hAnsiTheme="majorHAnsi" w:cstheme="majorHAnsi"/>
        </w:rPr>
        <w:t>metafunction</w:t>
      </w:r>
      <w:proofErr w:type="spellEnd"/>
      <w:r w:rsidR="0075350E" w:rsidRPr="0075350E">
        <w:rPr>
          <w:rFonts w:asciiTheme="majorHAnsi" w:hAnsiTheme="majorHAnsi" w:cstheme="majorHAnsi"/>
        </w:rPr>
        <w:t>—can be weakened if meanings are not fully aligned with cultural nuances. Thus, while slogans operate as powerful instruments of solidarity and national identity, their analysis requires human mediation to ensure that both explicit and implicit dimensions are faithfully understood</w:t>
      </w:r>
      <w:r w:rsidR="0075350E">
        <w:rPr>
          <w:rFonts w:asciiTheme="majorHAnsi" w:hAnsiTheme="majorHAnsi" w:cstheme="majorHAnsi"/>
        </w:rPr>
        <w:t xml:space="preserve"> </w:t>
      </w:r>
      <w:r w:rsidR="0075350E">
        <w:rPr>
          <w:rFonts w:asciiTheme="majorHAnsi" w:hAnsiTheme="majorHAnsi" w:cstheme="majorHAnsi"/>
        </w:rPr>
        <w:fldChar w:fldCharType="begin" w:fldLock="1"/>
      </w:r>
      <w:r w:rsidR="001C2A54">
        <w:rPr>
          <w:rFonts w:asciiTheme="majorHAnsi" w:hAnsiTheme="majorHAnsi" w:cstheme="majorHAnsi"/>
        </w:rPr>
        <w:instrText>ADDIN CSL_CITATION {"citationItems":[{"id":"ITEM-1","itemData":{"DOI":"10.30743/ll.v9i1.10551","ISSN":"2580-8672","abstract":"This study evaluates the strengths and limitations of ChatGPT-generated translations in academic post-editing workflows. The research highlights ChatGPT's ability to enhance translation efficiency by producing grammatically precise and structurally sound drafts, enabling post-editors to focus on higher-level refinements like coherence and contextual accuracy. While the tool demonstrates significant advantages in improving workflow efficiency and adapting texts to academic conventions, it faces challenges in addressing cultural nuances and idiomatic expressions, particularly in underrepresented languages such as Indonesian. The study suggests potential improvements, including expanding training datasets and incorporating advanced contextual understanding features, to maximize ChatGPT's utility. Ultimately, the findings emphasize the importance of combining AI capabilities with human expertise to ensure high-quality and culturally sensitive academic translations. Future research should focus on refining AI tools to meet the diverse needs of global academic communication.","author":[{"dropping-particle":"","family":"Brahmana","given":"Christanta Rejuna Phanes S","non-dropping-particle":"","parse-names":false,"suffix":""},{"dropping-particle":"","family":"Sofyan","given":"Rudy","non-dropping-particle":"","parse-names":false,"suffix":""},{"dropping-particle":"","family":"Mono","given":"Umar","non-dropping-particle":"","parse-names":false,"suffix":""}],"container-title":"Language Literacy: Journal of Linguistics, Literature, and Language Teaching","id":"ITEM-1","issue":"1","issued":{"date-parts":[["2025"]]},"page":"135-151","title":"Evaluating the Strengths and Limitations of Chatgpt-Generated Translations in Academic Post-Editing Workflows","type":"article-journal","volume":"9"},"uris":["http://www.mendeley.com/documents/?uuid=1d888fe9-3c74-4ff5-b121-9334eecab441"]}],"mendeley":{"formattedCitation":"(Brahmana et al., 2025)","plainTextFormattedCitation":"(Brahmana et al., 2025)","previouslyFormattedCitation":"(Brahmana et al., 2025)"},"properties":{"noteIndex":0},"schema":"https://github.com/citation-style-language/schema/raw/master/csl-citation.json"}</w:instrText>
      </w:r>
      <w:r w:rsidR="0075350E">
        <w:rPr>
          <w:rFonts w:asciiTheme="majorHAnsi" w:hAnsiTheme="majorHAnsi" w:cstheme="majorHAnsi"/>
        </w:rPr>
        <w:fldChar w:fldCharType="separate"/>
      </w:r>
      <w:r w:rsidR="0075350E" w:rsidRPr="0075350E">
        <w:rPr>
          <w:rFonts w:asciiTheme="majorHAnsi" w:hAnsiTheme="majorHAnsi" w:cstheme="majorHAnsi"/>
          <w:noProof/>
        </w:rPr>
        <w:t>(Brahmana et al., 2025)</w:t>
      </w:r>
      <w:r w:rsidR="0075350E">
        <w:rPr>
          <w:rFonts w:asciiTheme="majorHAnsi" w:hAnsiTheme="majorHAnsi" w:cstheme="majorHAnsi"/>
        </w:rPr>
        <w:fldChar w:fldCharType="end"/>
      </w:r>
      <w:r w:rsidR="0075350E" w:rsidRPr="0075350E">
        <w:rPr>
          <w:rFonts w:asciiTheme="majorHAnsi" w:hAnsiTheme="majorHAnsi" w:cstheme="majorHAnsi"/>
        </w:rPr>
        <w:t>.</w:t>
      </w:r>
    </w:p>
    <w:p w:rsidR="00E64D0D" w:rsidRPr="00877F28" w:rsidRDefault="00E64D0D" w:rsidP="006E1E85">
      <w:pPr>
        <w:pStyle w:val="NormalWeb"/>
        <w:spacing w:before="0" w:beforeAutospacing="0" w:after="0" w:afterAutospacing="0"/>
        <w:ind w:left="0" w:hanging="2"/>
        <w:rPr>
          <w:rFonts w:asciiTheme="majorHAnsi" w:hAnsiTheme="majorHAnsi" w:cstheme="majorHAnsi"/>
        </w:rPr>
      </w:pPr>
      <w:r w:rsidRPr="00877F28">
        <w:rPr>
          <w:rFonts w:asciiTheme="majorHAnsi" w:hAnsiTheme="majorHAnsi" w:cstheme="majorHAnsi"/>
        </w:rPr>
        <w:t xml:space="preserve">At the same time, the connection between past experiences and present challenges is evident in the way these slogans function discursively. The struggle for independence in 1945, which was marked by the determination to reclaim sovereignty from colonial powers, finds resonance in today’s slogans that emphasize resilience, sovereignty, and advancement. </w:t>
      </w:r>
      <w:r w:rsidRPr="00877F28">
        <w:rPr>
          <w:rFonts w:asciiTheme="majorHAnsi" w:hAnsiTheme="majorHAnsi" w:cstheme="majorHAnsi"/>
        </w:rPr>
        <w:lastRenderedPageBreak/>
        <w:t>For instance, the spirit of collective struggle (</w:t>
      </w:r>
      <w:proofErr w:type="spellStart"/>
      <w:r w:rsidRPr="00877F28">
        <w:rPr>
          <w:rStyle w:val="Emphasis"/>
          <w:rFonts w:asciiTheme="majorHAnsi" w:hAnsiTheme="majorHAnsi" w:cstheme="majorHAnsi"/>
        </w:rPr>
        <w:t>gotong</w:t>
      </w:r>
      <w:proofErr w:type="spellEnd"/>
      <w:r w:rsidRPr="00877F28">
        <w:rPr>
          <w:rStyle w:val="Emphasis"/>
          <w:rFonts w:asciiTheme="majorHAnsi" w:hAnsiTheme="majorHAnsi" w:cstheme="majorHAnsi"/>
        </w:rPr>
        <w:t xml:space="preserve"> </w:t>
      </w:r>
      <w:proofErr w:type="spellStart"/>
      <w:r w:rsidRPr="00877F28">
        <w:rPr>
          <w:rStyle w:val="Emphasis"/>
          <w:rFonts w:asciiTheme="majorHAnsi" w:hAnsiTheme="majorHAnsi" w:cstheme="majorHAnsi"/>
        </w:rPr>
        <w:t>royong</w:t>
      </w:r>
      <w:proofErr w:type="spellEnd"/>
      <w:r w:rsidRPr="00877F28">
        <w:rPr>
          <w:rFonts w:asciiTheme="majorHAnsi" w:hAnsiTheme="majorHAnsi" w:cstheme="majorHAnsi"/>
        </w:rPr>
        <w:t xml:space="preserve">) that characterized the independence movement reappears implicitly in contemporary slogans such as </w:t>
      </w:r>
      <w:r w:rsidRPr="00877F28">
        <w:rPr>
          <w:rStyle w:val="Emphasis"/>
          <w:rFonts w:asciiTheme="majorHAnsi" w:hAnsiTheme="majorHAnsi" w:cstheme="majorHAnsi"/>
        </w:rPr>
        <w:t>“Recover Faster, Rise Stronger.”</w:t>
      </w:r>
      <w:r w:rsidRPr="00877F28">
        <w:rPr>
          <w:rFonts w:asciiTheme="majorHAnsi" w:hAnsiTheme="majorHAnsi" w:cstheme="majorHAnsi"/>
        </w:rPr>
        <w:t xml:space="preserve"> This demonstrates that the linguistic construction of solidarity in the past remains relevant in addressing global crises in the present. Likewise, the proclamation of independence in 1945, which asserted Indonesia’s place among sovereign nations, finds continuity in slogans like </w:t>
      </w:r>
      <w:r w:rsidRPr="00877F28">
        <w:rPr>
          <w:rStyle w:val="Emphasis"/>
          <w:rFonts w:asciiTheme="majorHAnsi" w:hAnsiTheme="majorHAnsi" w:cstheme="majorHAnsi"/>
        </w:rPr>
        <w:t>“United and Sovereign, Prosperous People, Advanced Indonesia,”</w:t>
      </w:r>
      <w:r w:rsidRPr="00877F28">
        <w:rPr>
          <w:rFonts w:asciiTheme="majorHAnsi" w:hAnsiTheme="majorHAnsi" w:cstheme="majorHAnsi"/>
        </w:rPr>
        <w:t xml:space="preserve"> where the emphasis on sovereignty is not only political but also economic and technological in nature. Through this historical continuity, Independence Day slogans serve as annual reminders that Indonesia’s current journey toward Vision 2045 is deeply rooted in its past struggles and achievements. Thus, the interpersonal </w:t>
      </w:r>
      <w:proofErr w:type="spellStart"/>
      <w:r w:rsidRPr="00877F28">
        <w:rPr>
          <w:rFonts w:asciiTheme="majorHAnsi" w:hAnsiTheme="majorHAnsi" w:cstheme="majorHAnsi"/>
        </w:rPr>
        <w:t>metafunction</w:t>
      </w:r>
      <w:proofErr w:type="spellEnd"/>
      <w:r w:rsidRPr="00877F28">
        <w:rPr>
          <w:rFonts w:asciiTheme="majorHAnsi" w:hAnsiTheme="majorHAnsi" w:cstheme="majorHAnsi"/>
        </w:rPr>
        <w:t xml:space="preserve"> of these slogans not only projects authority and solidarity but also reinforces the narrative of historical continuity between past sacrifices and present ambitions.</w:t>
      </w:r>
    </w:p>
    <w:p w:rsidR="00E64D0D" w:rsidRPr="006E1E85" w:rsidRDefault="00E64D0D" w:rsidP="006E1E85">
      <w:pPr>
        <w:ind w:left="0" w:hanging="2"/>
        <w:jc w:val="both"/>
        <w:rPr>
          <w:rFonts w:asciiTheme="majorHAnsi" w:hAnsiTheme="majorHAnsi" w:cstheme="majorHAnsi"/>
          <w:sz w:val="24"/>
          <w:szCs w:val="24"/>
        </w:rPr>
      </w:pPr>
      <w:r w:rsidRPr="006E1E85">
        <w:rPr>
          <w:rFonts w:asciiTheme="majorHAnsi" w:hAnsiTheme="majorHAnsi" w:cstheme="majorHAnsi"/>
          <w:sz w:val="24"/>
          <w:szCs w:val="24"/>
        </w:rPr>
        <w:t xml:space="preserve">Therefore, the study of Independence Day slogans is not only academically significant as a linguistic analysis within the framework of Systemic Functional Linguistics, but also carries broad practical implications. This analysis provides a scientific foundation for governments, educational institutions, and society at large in designing slogans that go beyond ceremonial functions to truly embody nationalistic values capable of uniting generations. One of the most appropriate ways to conduct such an analysis is through the interpersonal </w:t>
      </w:r>
      <w:proofErr w:type="spellStart"/>
      <w:r w:rsidRPr="006E1E85">
        <w:rPr>
          <w:rFonts w:asciiTheme="majorHAnsi" w:hAnsiTheme="majorHAnsi" w:cstheme="majorHAnsi"/>
          <w:sz w:val="24"/>
          <w:szCs w:val="24"/>
        </w:rPr>
        <w:t>metafunction</w:t>
      </w:r>
      <w:proofErr w:type="spellEnd"/>
      <w:r w:rsidRPr="006E1E85">
        <w:rPr>
          <w:rFonts w:asciiTheme="majorHAnsi" w:hAnsiTheme="majorHAnsi" w:cstheme="majorHAnsi"/>
          <w:sz w:val="24"/>
          <w:szCs w:val="24"/>
        </w:rPr>
        <w:t>, since it foregrounds how language constructs relationships, negotiates power, and fosters solidarity between the state and its people. By understanding both explicit and implicit meanings and their connections to historical experiences, future slogans can be crafted more strategically to internalize the values of unity, hard work, and national self-reliance. In other words, this study may serve as an essential reference to ensure that every slogan produced is not merely a string of words but a powerful ideological medium that nurtures patriotism and strengthens national identity in the face of evolving challenges.</w:t>
      </w:r>
    </w:p>
    <w:p w:rsidR="00E64D0D" w:rsidRPr="00877F28" w:rsidRDefault="00E64D0D" w:rsidP="00E64D0D">
      <w:pPr>
        <w:ind w:left="0" w:hanging="2"/>
        <w:rPr>
          <w:rFonts w:asciiTheme="majorHAnsi" w:hAnsiTheme="majorHAnsi" w:cstheme="majorHAnsi"/>
        </w:rPr>
      </w:pPr>
      <w:r w:rsidRPr="00877F28">
        <w:rPr>
          <w:rFonts w:asciiTheme="majorHAnsi" w:hAnsiTheme="majorHAnsi" w:cstheme="majorHAnsi"/>
          <w:noProof/>
        </w:rPr>
        <w:drawing>
          <wp:inline distT="0" distB="0" distL="0" distR="0" wp14:anchorId="55BED0B7" wp14:editId="1459D799">
            <wp:extent cx="5943600" cy="25558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2555875"/>
                    </a:xfrm>
                    <a:prstGeom prst="rect">
                      <a:avLst/>
                    </a:prstGeom>
                  </pic:spPr>
                </pic:pic>
              </a:graphicData>
            </a:graphic>
          </wp:inline>
        </w:drawing>
      </w:r>
    </w:p>
    <w:p w:rsidR="004F09E2" w:rsidRDefault="004F09E2" w:rsidP="004F09E2">
      <w:pPr>
        <w:pStyle w:val="NormalWeb"/>
        <w:spacing w:before="0" w:beforeAutospacing="0" w:after="0" w:afterAutospacing="0"/>
        <w:ind w:left="0" w:hanging="2"/>
        <w:jc w:val="center"/>
        <w:rPr>
          <w:rFonts w:asciiTheme="majorHAnsi" w:hAnsiTheme="majorHAnsi" w:cstheme="majorHAnsi"/>
          <w:sz w:val="22"/>
        </w:rPr>
      </w:pPr>
      <w:r>
        <w:rPr>
          <w:rFonts w:asciiTheme="majorHAnsi" w:hAnsiTheme="majorHAnsi" w:cstheme="majorHAnsi"/>
          <w:sz w:val="22"/>
        </w:rPr>
        <w:t xml:space="preserve">Diagram </w:t>
      </w:r>
      <w:r w:rsidRPr="004F09E2">
        <w:rPr>
          <w:rFonts w:asciiTheme="majorHAnsi" w:hAnsiTheme="majorHAnsi" w:cstheme="majorHAnsi"/>
          <w:sz w:val="22"/>
        </w:rPr>
        <w:t xml:space="preserve">1. Degree of Analytical Emphasis on Interpersonal Features in </w:t>
      </w:r>
    </w:p>
    <w:p w:rsidR="004F09E2" w:rsidRDefault="004F09E2" w:rsidP="004F09E2">
      <w:pPr>
        <w:pStyle w:val="NormalWeb"/>
        <w:spacing w:before="0" w:beforeAutospacing="0" w:after="0" w:afterAutospacing="0"/>
        <w:ind w:left="0" w:hanging="2"/>
        <w:jc w:val="center"/>
        <w:rPr>
          <w:rFonts w:asciiTheme="majorHAnsi" w:hAnsiTheme="majorHAnsi" w:cstheme="majorHAnsi"/>
          <w:sz w:val="22"/>
        </w:rPr>
      </w:pPr>
      <w:r w:rsidRPr="004F09E2">
        <w:rPr>
          <w:rFonts w:asciiTheme="majorHAnsi" w:hAnsiTheme="majorHAnsi" w:cstheme="majorHAnsi"/>
          <w:sz w:val="22"/>
        </w:rPr>
        <w:t>Indonesian Independence Day Slogans (Years 70–80)</w:t>
      </w:r>
    </w:p>
    <w:p w:rsidR="006E1E85" w:rsidRPr="004F09E2" w:rsidRDefault="006E1E85" w:rsidP="004F09E2">
      <w:pPr>
        <w:pStyle w:val="NormalWeb"/>
        <w:spacing w:before="0" w:beforeAutospacing="0" w:after="0" w:afterAutospacing="0"/>
        <w:ind w:left="0" w:hanging="2"/>
        <w:jc w:val="center"/>
        <w:rPr>
          <w:rFonts w:asciiTheme="majorHAnsi" w:hAnsiTheme="majorHAnsi" w:cstheme="majorHAnsi"/>
          <w:b/>
          <w:sz w:val="22"/>
        </w:rPr>
      </w:pPr>
    </w:p>
    <w:p w:rsidR="00E64D0D" w:rsidRPr="00877F28" w:rsidRDefault="00E64D0D" w:rsidP="006E1E85">
      <w:pPr>
        <w:pStyle w:val="NormalWeb"/>
        <w:spacing w:before="0" w:beforeAutospacing="0" w:after="0" w:afterAutospacing="0"/>
        <w:ind w:left="0" w:hanging="2"/>
        <w:jc w:val="both"/>
        <w:rPr>
          <w:rFonts w:asciiTheme="majorHAnsi" w:hAnsiTheme="majorHAnsi" w:cstheme="majorHAnsi"/>
        </w:rPr>
      </w:pPr>
      <w:r w:rsidRPr="00877F28">
        <w:rPr>
          <w:rFonts w:asciiTheme="majorHAnsi" w:hAnsiTheme="majorHAnsi" w:cstheme="majorHAnsi"/>
        </w:rPr>
        <w:t xml:space="preserve">The diagram provides a comprehensive illustration of how Indonesia’s Independence Day slogans operate as purposeful linguistic artifacts rather than mere ceremonial statements. Each analytical category—mood, modality, pronoun usage, evaluative lexis, explicit and implicit meaning, and historical connection—demonstrates how these texts strategically </w:t>
      </w:r>
      <w:r w:rsidRPr="00877F28">
        <w:rPr>
          <w:rFonts w:asciiTheme="majorHAnsi" w:hAnsiTheme="majorHAnsi" w:cstheme="majorHAnsi"/>
        </w:rPr>
        <w:lastRenderedPageBreak/>
        <w:t>construct interpersonal relationships between the state and its citizens. Mood variation, for instance, highlights whether the slogans serve primarily as directives encouraging collective participation or as declarative affirmations of national progress. Modality encodes differing degrees of necessity, obligation, and urgency, thereby signaling the seriousness of the government’s appeal. The presence of pronouns and inclusive references linguistically reinforce unity, while evaluative vocabulary injects positive affect and national optimism. Explicit elements make the message accessible to the wider public, whereas implicit layers carry deeper ideological orientations aligned with long-term goals such as Indonesia’s Vision 2045. By bridging past struggles with present realities, the slogans symbolically map historical resilience onto contemporary aspirations, ensuring that the narrative of independence remains relevant across generations.</w:t>
      </w:r>
    </w:p>
    <w:p w:rsidR="00C12653" w:rsidRDefault="00E64D0D" w:rsidP="006E1E85">
      <w:pPr>
        <w:pStyle w:val="NormalWeb"/>
        <w:spacing w:before="0" w:beforeAutospacing="0" w:after="0" w:afterAutospacing="0"/>
        <w:ind w:left="0" w:hanging="2"/>
        <w:jc w:val="both"/>
        <w:rPr>
          <w:rFonts w:asciiTheme="majorHAnsi" w:hAnsiTheme="majorHAnsi" w:cstheme="majorHAnsi"/>
        </w:rPr>
      </w:pPr>
      <w:r w:rsidRPr="00877F28">
        <w:rPr>
          <w:rFonts w:asciiTheme="majorHAnsi" w:hAnsiTheme="majorHAnsi" w:cstheme="majorHAnsi"/>
        </w:rPr>
        <w:t xml:space="preserve">Beyond description, the diagram also allows for theoretical extrapolation. The recurring deployment of imperatives and inclusive markers suggests that state discourse is persistently framed around collectivism rather than individualism, positioning shared responsibility as a central national value. The alternation between declarative and imperative moods can be interpreted as evidence of shifting sociopolitical contexts—declaratives being more dominant in times of stability to affirm achievements as established truths, whereas imperatives become prominent in transitional or challenging periods to mobilize public action. Likewise, the dynamic interplay of implicit and explicit meanings reveals an effort to address diverse audiences, simultaneously appealing to emotional identification and rational foresight. From a systemic functional linguistics perspective, this demonstrates the adaptability of interpersonal </w:t>
      </w:r>
      <w:proofErr w:type="spellStart"/>
      <w:r w:rsidRPr="00877F28">
        <w:rPr>
          <w:rFonts w:asciiTheme="majorHAnsi" w:hAnsiTheme="majorHAnsi" w:cstheme="majorHAnsi"/>
        </w:rPr>
        <w:t>metafunction</w:t>
      </w:r>
      <w:proofErr w:type="spellEnd"/>
      <w:r w:rsidRPr="00877F28">
        <w:rPr>
          <w:rFonts w:asciiTheme="majorHAnsi" w:hAnsiTheme="majorHAnsi" w:cstheme="majorHAnsi"/>
        </w:rPr>
        <w:t xml:space="preserve"> in shaping discourse that is both inclusive and persuasive. </w:t>
      </w:r>
      <w:r w:rsidR="001C2A54" w:rsidRPr="001C2A54">
        <w:rPr>
          <w:rFonts w:asciiTheme="majorHAnsi" w:hAnsiTheme="majorHAnsi" w:cstheme="majorHAnsi"/>
        </w:rPr>
        <w:t>Such linguistic strategies are especially relevant in the context of national development, as a country’s literacy rate reflects its overall capacity to grow and respond to societal challenges. By embedding educational and civic values within slogans, the discourse not only fosters emotional and rational engagement but also reinforces literacy and critical thinking as essential components of national progress</w:t>
      </w:r>
      <w:r w:rsidR="001C2A54">
        <w:rPr>
          <w:rFonts w:asciiTheme="majorHAnsi" w:hAnsiTheme="majorHAnsi" w:cstheme="majorHAnsi"/>
        </w:rPr>
        <w:t xml:space="preserve"> </w:t>
      </w:r>
      <w:r w:rsidR="001C2A54">
        <w:rPr>
          <w:rFonts w:asciiTheme="majorHAnsi" w:hAnsiTheme="majorHAnsi" w:cstheme="majorHAnsi"/>
        </w:rPr>
        <w:fldChar w:fldCharType="begin" w:fldLock="1"/>
      </w:r>
      <w:r w:rsidR="003E1121">
        <w:rPr>
          <w:rFonts w:asciiTheme="majorHAnsi" w:hAnsiTheme="majorHAnsi" w:cstheme="majorHAnsi"/>
        </w:rPr>
        <w:instrText>ADDIN CSL_CITATION {"citationItems":[{"id":"ITEM-1","itemData":{"DOI":"10.30743/ll.v9i1.10637","ISSN":"2580-8672","abstract":"Indonesia’s literacy rate is low, ranking 61st in the PISA survey, 60th in the OECD’s 2016 survey, and 45th in PIRLS 2011. To address this, a Merdeka Belajar curriculum focusing on literacy activities is being implemented. Thus, it is necessary to conduct research related to teachers’ and students’ perspectives of literacy through reading activities in emancipated learning because it can reflect how they understand and experience it. The qualitative case study is used as the research method and involved an English teacher and a 7th-grade student in a junior high school in Tasikmalaya. Data was collected through semi-structured interviews and analyzed using Braun and Clarke (2006) thematic analysis approach. The findings indicate that teachers perceive literacy in English learning as multifaceted, emphasizing reading and writing activities to enhance knowledge. They advocate for literacy skills development through diverse activities, promote independent learning strategies, and employ multimodal approaches, aligning their practices with the principles of the Emancipated Curriculum to empower students. Therefore, further research should explore the impact of English reading literacy activities on students’; English language skills, specifically the four skills, using a quantitative experimental approach to investigate the effects of literacy through reading activities.","author":[{"dropping-particle":"","family":"Andriani","given":"Agis","non-dropping-particle":"","parse-names":false,"suffix":""},{"dropping-particle":"","family":"Izzati","given":"Aina Amalia","non-dropping-particle":"","parse-names":false,"suffix":""},{"dropping-particle":"","family":"Syakira","given":"Sitti","non-dropping-particle":"","parse-names":false,"suffix":""},{"dropping-particle":"","family":"Pertamana","given":"Dede","non-dropping-particle":"","parse-names":false,"suffix":""},{"dropping-particle":"","family":"Rosmala","given":"Dewi","non-dropping-particle":"","parse-names":false,"suffix":""}],"container-title":"Language Literacy: Journal of Linguistics, Literature, and Language Teaching","id":"ITEM-1","issue":"1","issued":{"date-parts":[["2025"]]},"page":"102-113","title":"Literacy Concept Perspectives in English Language Learning Within the Emancipated Curriculum","type":"article-journal","volume":"9"},"uris":["http://www.mendeley.com/documents/?uuid=9ee343f7-ad75-4f8d-8aa6-309976d42800"]}],"mendeley":{"formattedCitation":"(Andriani et al., 2025)","plainTextFormattedCitation":"(Andriani et al., 2025)","previouslyFormattedCitation":"(Andriani et al., 2025)"},"properties":{"noteIndex":0},"schema":"https://github.com/citation-style-language/schema/raw/master/csl-citation.json"}</w:instrText>
      </w:r>
      <w:r w:rsidR="001C2A54">
        <w:rPr>
          <w:rFonts w:asciiTheme="majorHAnsi" w:hAnsiTheme="majorHAnsi" w:cstheme="majorHAnsi"/>
        </w:rPr>
        <w:fldChar w:fldCharType="separate"/>
      </w:r>
      <w:r w:rsidR="001C2A54" w:rsidRPr="001C2A54">
        <w:rPr>
          <w:rFonts w:asciiTheme="majorHAnsi" w:hAnsiTheme="majorHAnsi" w:cstheme="majorHAnsi"/>
          <w:noProof/>
        </w:rPr>
        <w:t>(Andriani et al., 2025)</w:t>
      </w:r>
      <w:r w:rsidR="001C2A54">
        <w:rPr>
          <w:rFonts w:asciiTheme="majorHAnsi" w:hAnsiTheme="majorHAnsi" w:cstheme="majorHAnsi"/>
        </w:rPr>
        <w:fldChar w:fldCharType="end"/>
      </w:r>
      <w:r w:rsidR="001C2A54" w:rsidRPr="001C2A54">
        <w:rPr>
          <w:rFonts w:asciiTheme="majorHAnsi" w:hAnsiTheme="majorHAnsi" w:cstheme="majorHAnsi"/>
        </w:rPr>
        <w:t>.</w:t>
      </w:r>
      <w:r w:rsidR="001C2A54">
        <w:rPr>
          <w:rFonts w:asciiTheme="majorHAnsi" w:hAnsiTheme="majorHAnsi" w:cstheme="majorHAnsi"/>
        </w:rPr>
        <w:t xml:space="preserve"> </w:t>
      </w:r>
      <w:r w:rsidRPr="00877F28">
        <w:rPr>
          <w:rFonts w:asciiTheme="majorHAnsi" w:hAnsiTheme="majorHAnsi" w:cstheme="majorHAnsi"/>
        </w:rPr>
        <w:t>Such findings underscore that these slogans are not merely ritualized commemorations but function as strategic communicative instruments for nation-building, ideological dissemination, and the continual cultivation of national identity.</w:t>
      </w:r>
    </w:p>
    <w:p w:rsidR="006E1E85" w:rsidRPr="006E1E85" w:rsidRDefault="006E1E85" w:rsidP="006E1E85">
      <w:pPr>
        <w:pStyle w:val="NormalWeb"/>
        <w:spacing w:before="0" w:beforeAutospacing="0" w:after="0" w:afterAutospacing="0"/>
        <w:ind w:left="0" w:hanging="2"/>
        <w:jc w:val="both"/>
        <w:rPr>
          <w:rFonts w:asciiTheme="majorHAnsi" w:hAnsiTheme="majorHAnsi" w:cstheme="majorHAnsi"/>
        </w:rPr>
      </w:pPr>
    </w:p>
    <w:p w:rsidR="006A7313" w:rsidRPr="00877F28" w:rsidRDefault="00DD7C08" w:rsidP="00DD7C08">
      <w:pPr>
        <w:ind w:leftChars="0" w:left="0" w:firstLineChars="0" w:firstLine="0"/>
        <w:rPr>
          <w:rFonts w:asciiTheme="majorHAnsi" w:eastAsia="Calibri" w:hAnsiTheme="majorHAnsi" w:cstheme="majorHAnsi"/>
          <w:sz w:val="28"/>
          <w:szCs w:val="28"/>
        </w:rPr>
      </w:pPr>
      <w:r w:rsidRPr="00877F28">
        <w:rPr>
          <w:rFonts w:asciiTheme="majorHAnsi" w:eastAsia="Calibri" w:hAnsiTheme="majorHAnsi" w:cstheme="majorHAnsi"/>
          <w:b/>
          <w:sz w:val="28"/>
          <w:szCs w:val="28"/>
        </w:rPr>
        <w:t>5. Conclusion</w:t>
      </w:r>
    </w:p>
    <w:p w:rsidR="00DD7C08" w:rsidRPr="00877F28" w:rsidRDefault="004C76F4" w:rsidP="00DD7C08">
      <w:pPr>
        <w:tabs>
          <w:tab w:val="left" w:pos="2127"/>
        </w:tabs>
        <w:ind w:left="0" w:hanging="2"/>
        <w:jc w:val="both"/>
        <w:rPr>
          <w:rFonts w:asciiTheme="majorHAnsi" w:hAnsiTheme="majorHAnsi" w:cstheme="majorHAnsi"/>
          <w:sz w:val="24"/>
          <w:szCs w:val="24"/>
        </w:rPr>
      </w:pPr>
      <w:r w:rsidRPr="00877F28">
        <w:rPr>
          <w:rFonts w:asciiTheme="majorHAnsi" w:hAnsiTheme="majorHAnsi" w:cstheme="majorHAnsi"/>
          <w:sz w:val="24"/>
          <w:szCs w:val="24"/>
        </w:rPr>
        <w:t xml:space="preserve">This study shows that Indonesian Independence Day slogans from 2015 to 2025 are more than commemorative phrases; they are persuasive discourses that build unity, strengthen patriotic spirit, and communicate national goals. The recurring themes of resilience, productivity, and solidarity not only honor the </w:t>
      </w:r>
      <w:proofErr w:type="gramStart"/>
      <w:r w:rsidRPr="00877F28">
        <w:rPr>
          <w:rFonts w:asciiTheme="majorHAnsi" w:hAnsiTheme="majorHAnsi" w:cstheme="majorHAnsi"/>
          <w:sz w:val="24"/>
          <w:szCs w:val="24"/>
        </w:rPr>
        <w:t>nation’s</w:t>
      </w:r>
      <w:proofErr w:type="gramEnd"/>
      <w:r w:rsidRPr="00877F28">
        <w:rPr>
          <w:rFonts w:asciiTheme="majorHAnsi" w:hAnsiTheme="majorHAnsi" w:cstheme="majorHAnsi"/>
          <w:sz w:val="24"/>
          <w:szCs w:val="24"/>
        </w:rPr>
        <w:t xml:space="preserve"> past struggles but also guide citizens toward future aspirations. Through the lens of the interpersonal </w:t>
      </w:r>
      <w:proofErr w:type="spellStart"/>
      <w:r w:rsidRPr="00877F28">
        <w:rPr>
          <w:rFonts w:asciiTheme="majorHAnsi" w:hAnsiTheme="majorHAnsi" w:cstheme="majorHAnsi"/>
          <w:sz w:val="24"/>
          <w:szCs w:val="24"/>
        </w:rPr>
        <w:t>metafunction</w:t>
      </w:r>
      <w:proofErr w:type="spellEnd"/>
      <w:r w:rsidRPr="00877F28">
        <w:rPr>
          <w:rFonts w:asciiTheme="majorHAnsi" w:hAnsiTheme="majorHAnsi" w:cstheme="majorHAnsi"/>
          <w:sz w:val="24"/>
          <w:szCs w:val="24"/>
        </w:rPr>
        <w:t>, the slogans reveal how the government seeks to present itself as authoritative yet inclusive, inviting the people to share responsibility for national progress. The use of evaluative words, inclusive pronouns, and modal expressions reflects a deliberate effort to shape public attitudes and foster belonging. Over time, the slogans have adapted to changing social and political contexts while continuing to uphold Indonesia’s core values. In this way, the slogans function as ideological texts that maintain national identity and point toward Indonesia’s vision for 2045, while also showing the value of discourse analysis in uncovering the relationship between language, power, and society</w:t>
      </w:r>
      <w:r w:rsidRPr="00877F28">
        <w:rPr>
          <w:rFonts w:asciiTheme="majorHAnsi" w:hAnsiTheme="majorHAnsi" w:cstheme="majorHAnsi"/>
        </w:rPr>
        <w:t>.</w:t>
      </w:r>
    </w:p>
    <w:p w:rsidR="00DD7C08" w:rsidRPr="00877F28" w:rsidRDefault="00DD7C08" w:rsidP="00415587">
      <w:pPr>
        <w:ind w:left="0" w:hanging="2"/>
        <w:jc w:val="both"/>
        <w:rPr>
          <w:rFonts w:asciiTheme="majorHAnsi" w:eastAsia="Calibri" w:hAnsiTheme="majorHAnsi" w:cstheme="majorHAnsi"/>
          <w:sz w:val="24"/>
          <w:szCs w:val="24"/>
        </w:rPr>
      </w:pPr>
    </w:p>
    <w:p w:rsidR="006A7313" w:rsidRPr="00877F28" w:rsidRDefault="006A7313" w:rsidP="00C12653">
      <w:pPr>
        <w:pBdr>
          <w:top w:val="nil"/>
          <w:left w:val="nil"/>
          <w:bottom w:val="nil"/>
          <w:right w:val="nil"/>
          <w:between w:val="nil"/>
        </w:pBdr>
        <w:spacing w:line="240" w:lineRule="auto"/>
        <w:ind w:leftChars="0" w:left="0" w:firstLineChars="0" w:firstLine="0"/>
        <w:jc w:val="both"/>
        <w:rPr>
          <w:rFonts w:asciiTheme="majorHAnsi" w:eastAsia="Calibri" w:hAnsiTheme="majorHAnsi" w:cstheme="majorHAnsi"/>
          <w:color w:val="000000"/>
          <w:sz w:val="24"/>
          <w:szCs w:val="24"/>
        </w:rPr>
      </w:pPr>
    </w:p>
    <w:p w:rsidR="006A7313" w:rsidRPr="00877F28" w:rsidRDefault="00DD7C08" w:rsidP="00DD7C08">
      <w:pPr>
        <w:ind w:left="1" w:hanging="3"/>
        <w:rPr>
          <w:rFonts w:asciiTheme="majorHAnsi" w:eastAsia="Calibri" w:hAnsiTheme="majorHAnsi" w:cstheme="majorHAnsi"/>
          <w:color w:val="000000"/>
          <w:sz w:val="28"/>
          <w:szCs w:val="28"/>
        </w:rPr>
      </w:pPr>
      <w:r w:rsidRPr="00877F28">
        <w:rPr>
          <w:rFonts w:asciiTheme="majorHAnsi" w:eastAsia="Calibri" w:hAnsiTheme="majorHAnsi" w:cstheme="majorHAnsi"/>
          <w:b/>
          <w:color w:val="000000"/>
          <w:sz w:val="28"/>
          <w:szCs w:val="28"/>
        </w:rPr>
        <w:t>References</w:t>
      </w:r>
    </w:p>
    <w:p w:rsidR="003E1121" w:rsidRPr="003E1121" w:rsidRDefault="00B36C8D" w:rsidP="00B9455E">
      <w:pPr>
        <w:widowControl w:val="0"/>
        <w:autoSpaceDE w:val="0"/>
        <w:autoSpaceDN w:val="0"/>
        <w:adjustRightInd w:val="0"/>
        <w:spacing w:line="240" w:lineRule="atLeast"/>
        <w:ind w:left="567" w:hangingChars="237" w:hanging="569"/>
        <w:rPr>
          <w:rFonts w:ascii="Calibri" w:hAnsi="Calibri" w:cs="Calibri"/>
          <w:noProof/>
          <w:sz w:val="24"/>
          <w:szCs w:val="24"/>
        </w:rPr>
      </w:pPr>
      <w:r w:rsidRPr="00877F28">
        <w:rPr>
          <w:rFonts w:asciiTheme="majorHAnsi" w:eastAsia="Calibri" w:hAnsiTheme="majorHAnsi" w:cstheme="majorHAnsi"/>
          <w:sz w:val="24"/>
          <w:szCs w:val="24"/>
        </w:rPr>
        <w:fldChar w:fldCharType="begin" w:fldLock="1"/>
      </w:r>
      <w:r w:rsidRPr="00877F28">
        <w:rPr>
          <w:rFonts w:asciiTheme="majorHAnsi" w:eastAsia="Calibri" w:hAnsiTheme="majorHAnsi" w:cstheme="majorHAnsi"/>
          <w:sz w:val="24"/>
          <w:szCs w:val="24"/>
        </w:rPr>
        <w:instrText xml:space="preserve">ADDIN Mendeley Bibliography CSL_BIBLIOGRAPHY </w:instrText>
      </w:r>
      <w:r w:rsidRPr="00877F28">
        <w:rPr>
          <w:rFonts w:asciiTheme="majorHAnsi" w:eastAsia="Calibri" w:hAnsiTheme="majorHAnsi" w:cstheme="majorHAnsi"/>
          <w:sz w:val="24"/>
          <w:szCs w:val="24"/>
        </w:rPr>
        <w:fldChar w:fldCharType="separate"/>
      </w:r>
      <w:r w:rsidR="003E1121" w:rsidRPr="003E1121">
        <w:rPr>
          <w:rFonts w:ascii="Calibri" w:hAnsi="Calibri" w:cs="Calibri"/>
          <w:noProof/>
          <w:sz w:val="24"/>
          <w:szCs w:val="24"/>
        </w:rPr>
        <w:t xml:space="preserve">Aistyana, T. P., &amp; Prastiwi, Y. (2025). Character Analysis Through Dialogue in Enola Holmes (2020): a Study Using M.H Abram’S Theory. </w:t>
      </w:r>
      <w:r w:rsidR="003E1121" w:rsidRPr="003E1121">
        <w:rPr>
          <w:rFonts w:ascii="Calibri" w:hAnsi="Calibri" w:cs="Calibri"/>
          <w:i/>
          <w:iCs/>
          <w:noProof/>
          <w:sz w:val="24"/>
          <w:szCs w:val="24"/>
        </w:rPr>
        <w:t>Language Literacy: Journal of Linguistics, Literature, and Language Teaching</w:t>
      </w:r>
      <w:r w:rsidR="003E1121" w:rsidRPr="003E1121">
        <w:rPr>
          <w:rFonts w:ascii="Calibri" w:hAnsi="Calibri" w:cs="Calibri"/>
          <w:noProof/>
          <w:sz w:val="24"/>
          <w:szCs w:val="24"/>
        </w:rPr>
        <w:t xml:space="preserve">, </w:t>
      </w:r>
      <w:r w:rsidR="003E1121" w:rsidRPr="003E1121">
        <w:rPr>
          <w:rFonts w:ascii="Calibri" w:hAnsi="Calibri" w:cs="Calibri"/>
          <w:i/>
          <w:iCs/>
          <w:noProof/>
          <w:sz w:val="24"/>
          <w:szCs w:val="24"/>
        </w:rPr>
        <w:t>9</w:t>
      </w:r>
      <w:r w:rsidR="003E1121" w:rsidRPr="003E1121">
        <w:rPr>
          <w:rFonts w:ascii="Calibri" w:hAnsi="Calibri" w:cs="Calibri"/>
          <w:noProof/>
          <w:sz w:val="24"/>
          <w:szCs w:val="24"/>
        </w:rPr>
        <w:t>(1), 74–82. https://doi.org/10.30743/ll.v9i1.10746</w:t>
      </w:r>
    </w:p>
    <w:p w:rsidR="003E1121" w:rsidRPr="003E1121" w:rsidRDefault="003E1121" w:rsidP="00B9455E">
      <w:pPr>
        <w:widowControl w:val="0"/>
        <w:autoSpaceDE w:val="0"/>
        <w:autoSpaceDN w:val="0"/>
        <w:adjustRightInd w:val="0"/>
        <w:spacing w:line="240" w:lineRule="atLeast"/>
        <w:ind w:left="567" w:hangingChars="237" w:hanging="569"/>
        <w:rPr>
          <w:rFonts w:ascii="Calibri" w:hAnsi="Calibri" w:cs="Calibri"/>
          <w:noProof/>
          <w:sz w:val="24"/>
          <w:szCs w:val="24"/>
        </w:rPr>
      </w:pPr>
      <w:r w:rsidRPr="003E1121">
        <w:rPr>
          <w:rFonts w:ascii="Calibri" w:hAnsi="Calibri" w:cs="Calibri"/>
          <w:noProof/>
          <w:sz w:val="24"/>
          <w:szCs w:val="24"/>
        </w:rPr>
        <w:t xml:space="preserve">Alejandro, A., &amp; Zhao, L. (2024). Multi-Method Qualitative Text and Discourse Analysis: A Methodological Framework. </w:t>
      </w:r>
      <w:r w:rsidRPr="003E1121">
        <w:rPr>
          <w:rFonts w:ascii="Calibri" w:hAnsi="Calibri" w:cs="Calibri"/>
          <w:i/>
          <w:iCs/>
          <w:noProof/>
          <w:sz w:val="24"/>
          <w:szCs w:val="24"/>
        </w:rPr>
        <w:t>Qualitative Inquiry</w:t>
      </w:r>
      <w:r w:rsidRPr="003E1121">
        <w:rPr>
          <w:rFonts w:ascii="Calibri" w:hAnsi="Calibri" w:cs="Calibri"/>
          <w:noProof/>
          <w:sz w:val="24"/>
          <w:szCs w:val="24"/>
        </w:rPr>
        <w:t xml:space="preserve">, </w:t>
      </w:r>
      <w:r w:rsidRPr="003E1121">
        <w:rPr>
          <w:rFonts w:ascii="Calibri" w:hAnsi="Calibri" w:cs="Calibri"/>
          <w:i/>
          <w:iCs/>
          <w:noProof/>
          <w:sz w:val="24"/>
          <w:szCs w:val="24"/>
        </w:rPr>
        <w:t>30</w:t>
      </w:r>
      <w:r w:rsidRPr="003E1121">
        <w:rPr>
          <w:rFonts w:ascii="Calibri" w:hAnsi="Calibri" w:cs="Calibri"/>
          <w:noProof/>
          <w:sz w:val="24"/>
          <w:szCs w:val="24"/>
        </w:rPr>
        <w:t>(6), 461–473. https://doi.org/10.1177/10778004231184421</w:t>
      </w:r>
    </w:p>
    <w:p w:rsidR="003E1121" w:rsidRPr="003E1121" w:rsidRDefault="003E1121" w:rsidP="00B9455E">
      <w:pPr>
        <w:widowControl w:val="0"/>
        <w:autoSpaceDE w:val="0"/>
        <w:autoSpaceDN w:val="0"/>
        <w:adjustRightInd w:val="0"/>
        <w:spacing w:line="240" w:lineRule="atLeast"/>
        <w:ind w:left="567" w:hangingChars="237" w:hanging="569"/>
        <w:rPr>
          <w:rFonts w:ascii="Calibri" w:hAnsi="Calibri" w:cs="Calibri"/>
          <w:noProof/>
          <w:sz w:val="24"/>
          <w:szCs w:val="24"/>
        </w:rPr>
      </w:pPr>
      <w:r w:rsidRPr="003E1121">
        <w:rPr>
          <w:rFonts w:ascii="Calibri" w:hAnsi="Calibri" w:cs="Calibri"/>
          <w:noProof/>
          <w:sz w:val="24"/>
          <w:szCs w:val="24"/>
        </w:rPr>
        <w:t xml:space="preserve">Andriani, A., Izzati, A. A., Syakira, S., Pertamana, D., &amp; Rosmala, D. (2025). Literacy Concept </w:t>
      </w:r>
      <w:r w:rsidR="00D52D9E">
        <w:rPr>
          <w:rFonts w:ascii="Calibri" w:hAnsi="Calibri" w:cs="Calibri"/>
          <w:noProof/>
          <w:sz w:val="24"/>
          <w:szCs w:val="24"/>
        </w:rPr>
        <w:t xml:space="preserve"> </w:t>
      </w:r>
      <w:r w:rsidRPr="003E1121">
        <w:rPr>
          <w:rFonts w:ascii="Calibri" w:hAnsi="Calibri" w:cs="Calibri"/>
          <w:noProof/>
          <w:sz w:val="24"/>
          <w:szCs w:val="24"/>
        </w:rPr>
        <w:t xml:space="preserve">Perspectives in English Language Learning Within the Emancipated Curriculum. </w:t>
      </w:r>
      <w:r w:rsidRPr="003E1121">
        <w:rPr>
          <w:rFonts w:ascii="Calibri" w:hAnsi="Calibri" w:cs="Calibri"/>
          <w:i/>
          <w:iCs/>
          <w:noProof/>
          <w:sz w:val="24"/>
          <w:szCs w:val="24"/>
        </w:rPr>
        <w:t>Language Literacy: Journal of Linguistics, Literature, and Language Teaching</w:t>
      </w:r>
      <w:r w:rsidRPr="003E1121">
        <w:rPr>
          <w:rFonts w:ascii="Calibri" w:hAnsi="Calibri" w:cs="Calibri"/>
          <w:noProof/>
          <w:sz w:val="24"/>
          <w:szCs w:val="24"/>
        </w:rPr>
        <w:t xml:space="preserve">, </w:t>
      </w:r>
      <w:r w:rsidRPr="003E1121">
        <w:rPr>
          <w:rFonts w:ascii="Calibri" w:hAnsi="Calibri" w:cs="Calibri"/>
          <w:i/>
          <w:iCs/>
          <w:noProof/>
          <w:sz w:val="24"/>
          <w:szCs w:val="24"/>
        </w:rPr>
        <w:t>9</w:t>
      </w:r>
      <w:r w:rsidRPr="003E1121">
        <w:rPr>
          <w:rFonts w:ascii="Calibri" w:hAnsi="Calibri" w:cs="Calibri"/>
          <w:noProof/>
          <w:sz w:val="24"/>
          <w:szCs w:val="24"/>
        </w:rPr>
        <w:t>(1), 102–113. https://doi.org/10.30743/ll.v9i1.10637</w:t>
      </w:r>
    </w:p>
    <w:p w:rsidR="003E1121" w:rsidRPr="003E1121" w:rsidRDefault="003E1121" w:rsidP="00D52D9E">
      <w:pPr>
        <w:widowControl w:val="0"/>
        <w:autoSpaceDE w:val="0"/>
        <w:autoSpaceDN w:val="0"/>
        <w:adjustRightInd w:val="0"/>
        <w:spacing w:line="240" w:lineRule="atLeast"/>
        <w:ind w:left="567" w:hangingChars="237" w:hanging="569"/>
        <w:rPr>
          <w:rFonts w:ascii="Calibri" w:hAnsi="Calibri" w:cs="Calibri"/>
          <w:noProof/>
          <w:sz w:val="24"/>
          <w:szCs w:val="24"/>
        </w:rPr>
      </w:pPr>
      <w:r w:rsidRPr="003E1121">
        <w:rPr>
          <w:rFonts w:ascii="Calibri" w:hAnsi="Calibri" w:cs="Calibri"/>
          <w:noProof/>
          <w:sz w:val="24"/>
          <w:szCs w:val="24"/>
        </w:rPr>
        <w:t xml:space="preserve">Anjorin-Ojewole, R., Idowu, O., &amp; Kalejaiye, A. (2025). Language, Power, and Identity: A Discourse Analysis of APC and PDP Slogans. </w:t>
      </w:r>
      <w:r w:rsidRPr="003E1121">
        <w:rPr>
          <w:rFonts w:ascii="Calibri" w:hAnsi="Calibri" w:cs="Calibri"/>
          <w:i/>
          <w:iCs/>
          <w:noProof/>
          <w:sz w:val="24"/>
          <w:szCs w:val="24"/>
        </w:rPr>
        <w:t>Nsukka Journal of the Humanities</w:t>
      </w:r>
      <w:r w:rsidRPr="003E1121">
        <w:rPr>
          <w:rFonts w:ascii="Calibri" w:hAnsi="Calibri" w:cs="Calibri"/>
          <w:noProof/>
          <w:sz w:val="24"/>
          <w:szCs w:val="24"/>
        </w:rPr>
        <w:t xml:space="preserve">, </w:t>
      </w:r>
      <w:r w:rsidRPr="003E1121">
        <w:rPr>
          <w:rFonts w:ascii="Calibri" w:hAnsi="Calibri" w:cs="Calibri"/>
          <w:i/>
          <w:iCs/>
          <w:noProof/>
          <w:sz w:val="24"/>
          <w:szCs w:val="24"/>
        </w:rPr>
        <w:t>33</w:t>
      </w:r>
      <w:r w:rsidRPr="003E1121">
        <w:rPr>
          <w:rFonts w:ascii="Calibri" w:hAnsi="Calibri" w:cs="Calibri"/>
          <w:noProof/>
          <w:sz w:val="24"/>
          <w:szCs w:val="24"/>
        </w:rPr>
        <w:t>(1), 180–199. https://doi.org/10.62250/nsuk.2025.33.1.180-199</w:t>
      </w:r>
    </w:p>
    <w:p w:rsidR="003E1121" w:rsidRPr="003E1121" w:rsidRDefault="003E1121" w:rsidP="00D52D9E">
      <w:pPr>
        <w:widowControl w:val="0"/>
        <w:autoSpaceDE w:val="0"/>
        <w:autoSpaceDN w:val="0"/>
        <w:adjustRightInd w:val="0"/>
        <w:spacing w:line="240" w:lineRule="atLeast"/>
        <w:ind w:left="567" w:hangingChars="237" w:hanging="569"/>
        <w:rPr>
          <w:rFonts w:ascii="Calibri" w:hAnsi="Calibri" w:cs="Calibri"/>
          <w:noProof/>
          <w:sz w:val="24"/>
          <w:szCs w:val="24"/>
        </w:rPr>
      </w:pPr>
      <w:r w:rsidRPr="003E1121">
        <w:rPr>
          <w:rFonts w:ascii="Calibri" w:hAnsi="Calibri" w:cs="Calibri"/>
          <w:noProof/>
          <w:sz w:val="24"/>
          <w:szCs w:val="24"/>
        </w:rPr>
        <w:t xml:space="preserve">Brahmana, C. R. P. S., Sofyan, R., &amp; Mono, U. (2025). Evaluating the Strengths and Limitations of Chatgpt-Generated Translations in Academic Post-Editing Workflows. </w:t>
      </w:r>
      <w:r w:rsidRPr="003E1121">
        <w:rPr>
          <w:rFonts w:ascii="Calibri" w:hAnsi="Calibri" w:cs="Calibri"/>
          <w:i/>
          <w:iCs/>
          <w:noProof/>
          <w:sz w:val="24"/>
          <w:szCs w:val="24"/>
        </w:rPr>
        <w:t>Language Literacy: Journal of Linguistics, Literature, and Language Teaching</w:t>
      </w:r>
      <w:r w:rsidRPr="003E1121">
        <w:rPr>
          <w:rFonts w:ascii="Calibri" w:hAnsi="Calibri" w:cs="Calibri"/>
          <w:noProof/>
          <w:sz w:val="24"/>
          <w:szCs w:val="24"/>
        </w:rPr>
        <w:t xml:space="preserve">, </w:t>
      </w:r>
      <w:r w:rsidRPr="003E1121">
        <w:rPr>
          <w:rFonts w:ascii="Calibri" w:hAnsi="Calibri" w:cs="Calibri"/>
          <w:i/>
          <w:iCs/>
          <w:noProof/>
          <w:sz w:val="24"/>
          <w:szCs w:val="24"/>
        </w:rPr>
        <w:t>9</w:t>
      </w:r>
      <w:r w:rsidRPr="003E1121">
        <w:rPr>
          <w:rFonts w:ascii="Calibri" w:hAnsi="Calibri" w:cs="Calibri"/>
          <w:noProof/>
          <w:sz w:val="24"/>
          <w:szCs w:val="24"/>
        </w:rPr>
        <w:t>(1), 135–151. https://doi.org/10.30743/ll.v9i1.10551</w:t>
      </w:r>
    </w:p>
    <w:p w:rsidR="003E1121" w:rsidRPr="003E1121" w:rsidRDefault="003E1121" w:rsidP="00D52D9E">
      <w:pPr>
        <w:widowControl w:val="0"/>
        <w:autoSpaceDE w:val="0"/>
        <w:autoSpaceDN w:val="0"/>
        <w:adjustRightInd w:val="0"/>
        <w:spacing w:line="240" w:lineRule="atLeast"/>
        <w:ind w:left="567" w:hangingChars="237" w:hanging="569"/>
        <w:rPr>
          <w:rFonts w:ascii="Calibri" w:hAnsi="Calibri" w:cs="Calibri"/>
          <w:noProof/>
          <w:sz w:val="24"/>
          <w:szCs w:val="24"/>
        </w:rPr>
      </w:pPr>
      <w:r w:rsidRPr="003E1121">
        <w:rPr>
          <w:rFonts w:ascii="Calibri" w:hAnsi="Calibri" w:cs="Calibri"/>
          <w:noProof/>
          <w:sz w:val="24"/>
          <w:szCs w:val="24"/>
        </w:rPr>
        <w:t xml:space="preserve">Denistia, K., Yuda, J. P., Perwira, Y. K., Sari, I. M., Wulandari, D., &amp; Priyanto, A. D. (2024). Linguistic aspects of English slogans in Indonesian products. </w:t>
      </w:r>
      <w:r w:rsidRPr="003E1121">
        <w:rPr>
          <w:rFonts w:ascii="Calibri" w:hAnsi="Calibri" w:cs="Calibri"/>
          <w:i/>
          <w:iCs/>
          <w:noProof/>
          <w:sz w:val="24"/>
          <w:szCs w:val="24"/>
        </w:rPr>
        <w:t>Indonesian Journal of Applied Linguistics</w:t>
      </w:r>
      <w:r w:rsidRPr="003E1121">
        <w:rPr>
          <w:rFonts w:ascii="Calibri" w:hAnsi="Calibri" w:cs="Calibri"/>
          <w:noProof/>
          <w:sz w:val="24"/>
          <w:szCs w:val="24"/>
        </w:rPr>
        <w:t xml:space="preserve">, </w:t>
      </w:r>
      <w:r w:rsidRPr="003E1121">
        <w:rPr>
          <w:rFonts w:ascii="Calibri" w:hAnsi="Calibri" w:cs="Calibri"/>
          <w:i/>
          <w:iCs/>
          <w:noProof/>
          <w:sz w:val="24"/>
          <w:szCs w:val="24"/>
        </w:rPr>
        <w:t>13</w:t>
      </w:r>
      <w:r w:rsidRPr="003E1121">
        <w:rPr>
          <w:rFonts w:ascii="Calibri" w:hAnsi="Calibri" w:cs="Calibri"/>
          <w:noProof/>
          <w:sz w:val="24"/>
          <w:szCs w:val="24"/>
        </w:rPr>
        <w:t>(3), 535–546. https://doi.org/10.17509/IJAL.V13I3.66939</w:t>
      </w:r>
    </w:p>
    <w:p w:rsidR="003E1121" w:rsidRPr="003E1121" w:rsidRDefault="003E1121" w:rsidP="00D52D9E">
      <w:pPr>
        <w:widowControl w:val="0"/>
        <w:autoSpaceDE w:val="0"/>
        <w:autoSpaceDN w:val="0"/>
        <w:adjustRightInd w:val="0"/>
        <w:spacing w:line="240" w:lineRule="atLeast"/>
        <w:ind w:left="567" w:hangingChars="237" w:hanging="569"/>
        <w:rPr>
          <w:rFonts w:ascii="Calibri" w:hAnsi="Calibri" w:cs="Calibri"/>
          <w:noProof/>
          <w:sz w:val="24"/>
          <w:szCs w:val="24"/>
        </w:rPr>
      </w:pPr>
      <w:r w:rsidRPr="003E1121">
        <w:rPr>
          <w:rFonts w:ascii="Calibri" w:hAnsi="Calibri" w:cs="Calibri"/>
          <w:noProof/>
          <w:sz w:val="24"/>
          <w:szCs w:val="24"/>
        </w:rPr>
        <w:t xml:space="preserve">Halliday, M. A. K. &amp; M., &amp; M.I.M. (2014). </w:t>
      </w:r>
      <w:r w:rsidRPr="003E1121">
        <w:rPr>
          <w:rFonts w:ascii="Calibri" w:hAnsi="Calibri" w:cs="Calibri"/>
          <w:i/>
          <w:iCs/>
          <w:noProof/>
          <w:sz w:val="24"/>
          <w:szCs w:val="24"/>
        </w:rPr>
        <w:t>Introduction to Functional Grammar Revised by Christian M.I.M Matthiessen</w:t>
      </w:r>
      <w:r w:rsidRPr="003E1121">
        <w:rPr>
          <w:rFonts w:ascii="Calibri" w:hAnsi="Calibri" w:cs="Calibri"/>
          <w:noProof/>
          <w:sz w:val="24"/>
          <w:szCs w:val="24"/>
        </w:rPr>
        <w:t>. Routledge.</w:t>
      </w:r>
    </w:p>
    <w:p w:rsidR="003E1121" w:rsidRPr="003E1121" w:rsidRDefault="003E1121" w:rsidP="00D52D9E">
      <w:pPr>
        <w:widowControl w:val="0"/>
        <w:autoSpaceDE w:val="0"/>
        <w:autoSpaceDN w:val="0"/>
        <w:adjustRightInd w:val="0"/>
        <w:spacing w:line="240" w:lineRule="atLeast"/>
        <w:ind w:left="567" w:hangingChars="237" w:hanging="569"/>
        <w:rPr>
          <w:rFonts w:ascii="Calibri" w:hAnsi="Calibri" w:cs="Calibri"/>
          <w:noProof/>
          <w:sz w:val="24"/>
          <w:szCs w:val="24"/>
        </w:rPr>
      </w:pPr>
      <w:r w:rsidRPr="003E1121">
        <w:rPr>
          <w:rFonts w:ascii="Calibri" w:hAnsi="Calibri" w:cs="Calibri"/>
          <w:noProof/>
          <w:sz w:val="24"/>
          <w:szCs w:val="24"/>
        </w:rPr>
        <w:t xml:space="preserve">Han, J., &amp; Yin, Y. (2025). Applying Interpersonal Function Theory in Film Subtitle Translation —A Study of Good Will Hunting. </w:t>
      </w:r>
      <w:r w:rsidRPr="003E1121">
        <w:rPr>
          <w:rFonts w:ascii="Calibri" w:hAnsi="Calibri" w:cs="Calibri"/>
          <w:i/>
          <w:iCs/>
          <w:noProof/>
          <w:sz w:val="24"/>
          <w:szCs w:val="24"/>
        </w:rPr>
        <w:t>OALib</w:t>
      </w:r>
      <w:r w:rsidRPr="003E1121">
        <w:rPr>
          <w:rFonts w:ascii="Calibri" w:hAnsi="Calibri" w:cs="Calibri"/>
          <w:noProof/>
          <w:sz w:val="24"/>
          <w:szCs w:val="24"/>
        </w:rPr>
        <w:t xml:space="preserve">, </w:t>
      </w:r>
      <w:r w:rsidRPr="003E1121">
        <w:rPr>
          <w:rFonts w:ascii="Calibri" w:hAnsi="Calibri" w:cs="Calibri"/>
          <w:i/>
          <w:iCs/>
          <w:noProof/>
          <w:sz w:val="24"/>
          <w:szCs w:val="24"/>
        </w:rPr>
        <w:t>12</w:t>
      </w:r>
      <w:r w:rsidRPr="003E1121">
        <w:rPr>
          <w:rFonts w:ascii="Calibri" w:hAnsi="Calibri" w:cs="Calibri"/>
          <w:noProof/>
          <w:sz w:val="24"/>
          <w:szCs w:val="24"/>
        </w:rPr>
        <w:t>(03), 1–17. https://doi.org/10.4236/oalib.1113108</w:t>
      </w:r>
    </w:p>
    <w:p w:rsidR="003E1121" w:rsidRPr="003E1121" w:rsidRDefault="003E1121" w:rsidP="00D52D9E">
      <w:pPr>
        <w:widowControl w:val="0"/>
        <w:autoSpaceDE w:val="0"/>
        <w:autoSpaceDN w:val="0"/>
        <w:adjustRightInd w:val="0"/>
        <w:spacing w:line="240" w:lineRule="atLeast"/>
        <w:ind w:leftChars="0" w:left="566" w:hangingChars="236" w:hanging="566"/>
        <w:rPr>
          <w:rFonts w:ascii="Calibri" w:hAnsi="Calibri" w:cs="Calibri"/>
          <w:noProof/>
          <w:sz w:val="24"/>
          <w:szCs w:val="24"/>
        </w:rPr>
      </w:pPr>
      <w:r w:rsidRPr="003E1121">
        <w:rPr>
          <w:rFonts w:ascii="Calibri" w:hAnsi="Calibri" w:cs="Calibri"/>
          <w:noProof/>
          <w:sz w:val="24"/>
          <w:szCs w:val="24"/>
        </w:rPr>
        <w:t xml:space="preserve">Harahap, R. S., Tifani Angrayani, Rafli Firmansyah Putra, &amp; Edi Suprayetno. (2024). A Systemic Functional Linguistics (SFL) Analysis on Short story Cindelaras by Cerita Rakyat from East Java. </w:t>
      </w:r>
      <w:r w:rsidRPr="003E1121">
        <w:rPr>
          <w:rFonts w:ascii="Calibri" w:hAnsi="Calibri" w:cs="Calibri"/>
          <w:i/>
          <w:iCs/>
          <w:noProof/>
          <w:sz w:val="24"/>
          <w:szCs w:val="24"/>
        </w:rPr>
        <w:t>Journal of Applied Linguistics</w:t>
      </w:r>
      <w:r w:rsidRPr="003E1121">
        <w:rPr>
          <w:rFonts w:ascii="Calibri" w:hAnsi="Calibri" w:cs="Calibri"/>
          <w:noProof/>
          <w:sz w:val="24"/>
          <w:szCs w:val="24"/>
        </w:rPr>
        <w:t xml:space="preserve">, </w:t>
      </w:r>
      <w:r w:rsidRPr="003E1121">
        <w:rPr>
          <w:rFonts w:ascii="Calibri" w:hAnsi="Calibri" w:cs="Calibri"/>
          <w:i/>
          <w:iCs/>
          <w:noProof/>
          <w:sz w:val="24"/>
          <w:szCs w:val="24"/>
        </w:rPr>
        <w:t>3</w:t>
      </w:r>
      <w:r w:rsidRPr="003E1121">
        <w:rPr>
          <w:rFonts w:ascii="Calibri" w:hAnsi="Calibri" w:cs="Calibri"/>
          <w:noProof/>
          <w:sz w:val="24"/>
          <w:szCs w:val="24"/>
        </w:rPr>
        <w:t>(2), 34–43. https://doi.org/10.52622/joal.v3i2.187</w:t>
      </w:r>
    </w:p>
    <w:p w:rsidR="003E1121" w:rsidRPr="003E1121" w:rsidRDefault="003E1121" w:rsidP="00D52D9E">
      <w:pPr>
        <w:widowControl w:val="0"/>
        <w:autoSpaceDE w:val="0"/>
        <w:autoSpaceDN w:val="0"/>
        <w:adjustRightInd w:val="0"/>
        <w:spacing w:line="240" w:lineRule="atLeast"/>
        <w:ind w:left="567" w:hangingChars="237" w:hanging="569"/>
        <w:rPr>
          <w:rFonts w:ascii="Calibri" w:hAnsi="Calibri" w:cs="Calibri"/>
          <w:noProof/>
          <w:sz w:val="24"/>
          <w:szCs w:val="24"/>
        </w:rPr>
      </w:pPr>
      <w:r w:rsidRPr="003E1121">
        <w:rPr>
          <w:rFonts w:ascii="Calibri" w:hAnsi="Calibri" w:cs="Calibri"/>
          <w:noProof/>
          <w:sz w:val="24"/>
          <w:szCs w:val="24"/>
        </w:rPr>
        <w:t xml:space="preserve">Kurniawati, A. E., Hamamah, H., &amp; Muttaqin, S. (2025). Exploring Teacher–Student Talk in English for Young Learners (EYL) Led by a Gen Z Teacher: A FIACS-Based Case Study in Indonesia. </w:t>
      </w:r>
      <w:r w:rsidRPr="003E1121">
        <w:rPr>
          <w:rFonts w:ascii="Calibri" w:hAnsi="Calibri" w:cs="Calibri"/>
          <w:i/>
          <w:iCs/>
          <w:noProof/>
          <w:sz w:val="24"/>
          <w:szCs w:val="24"/>
        </w:rPr>
        <w:t>Language Literacy: Journal of Linguistics, Literature, and Language Teaching</w:t>
      </w:r>
      <w:r w:rsidRPr="003E1121">
        <w:rPr>
          <w:rFonts w:ascii="Calibri" w:hAnsi="Calibri" w:cs="Calibri"/>
          <w:noProof/>
          <w:sz w:val="24"/>
          <w:szCs w:val="24"/>
        </w:rPr>
        <w:t xml:space="preserve">, </w:t>
      </w:r>
      <w:r w:rsidRPr="003E1121">
        <w:rPr>
          <w:rFonts w:ascii="Calibri" w:hAnsi="Calibri" w:cs="Calibri"/>
          <w:i/>
          <w:iCs/>
          <w:noProof/>
          <w:sz w:val="24"/>
          <w:szCs w:val="24"/>
        </w:rPr>
        <w:t>9</w:t>
      </w:r>
      <w:r w:rsidRPr="003E1121">
        <w:rPr>
          <w:rFonts w:ascii="Calibri" w:hAnsi="Calibri" w:cs="Calibri"/>
          <w:noProof/>
          <w:sz w:val="24"/>
          <w:szCs w:val="24"/>
        </w:rPr>
        <w:t>(1), 204–215. https://doi.org/10.30743/ll.v9i1.11027</w:t>
      </w:r>
    </w:p>
    <w:p w:rsidR="003E1121" w:rsidRPr="003E1121" w:rsidRDefault="003E1121" w:rsidP="00D52D9E">
      <w:pPr>
        <w:widowControl w:val="0"/>
        <w:autoSpaceDE w:val="0"/>
        <w:autoSpaceDN w:val="0"/>
        <w:adjustRightInd w:val="0"/>
        <w:spacing w:line="240" w:lineRule="atLeast"/>
        <w:ind w:left="567" w:hangingChars="237" w:hanging="569"/>
        <w:rPr>
          <w:rFonts w:ascii="Calibri" w:hAnsi="Calibri" w:cs="Calibri"/>
          <w:noProof/>
          <w:sz w:val="24"/>
          <w:szCs w:val="24"/>
        </w:rPr>
      </w:pPr>
      <w:r w:rsidRPr="003E1121">
        <w:rPr>
          <w:rFonts w:ascii="Calibri" w:hAnsi="Calibri" w:cs="Calibri"/>
          <w:noProof/>
          <w:sz w:val="24"/>
          <w:szCs w:val="24"/>
        </w:rPr>
        <w:t xml:space="preserve">Lambert, V. A. (2012). Editorial : Qualitative Descriptive Research : An Acceptable Design. </w:t>
      </w:r>
      <w:r w:rsidRPr="003E1121">
        <w:rPr>
          <w:rFonts w:ascii="Calibri" w:hAnsi="Calibri" w:cs="Calibri"/>
          <w:i/>
          <w:iCs/>
          <w:noProof/>
          <w:sz w:val="24"/>
          <w:szCs w:val="24"/>
        </w:rPr>
        <w:t>Pacific Rim Int J Nurs Res</w:t>
      </w:r>
      <w:r w:rsidRPr="003E1121">
        <w:rPr>
          <w:rFonts w:ascii="Calibri" w:hAnsi="Calibri" w:cs="Calibri"/>
          <w:noProof/>
          <w:sz w:val="24"/>
          <w:szCs w:val="24"/>
        </w:rPr>
        <w:t xml:space="preserve">, </w:t>
      </w:r>
      <w:r w:rsidRPr="003E1121">
        <w:rPr>
          <w:rFonts w:ascii="Calibri" w:hAnsi="Calibri" w:cs="Calibri"/>
          <w:i/>
          <w:iCs/>
          <w:noProof/>
          <w:sz w:val="24"/>
          <w:szCs w:val="24"/>
        </w:rPr>
        <w:t>4</w:t>
      </w:r>
      <w:r w:rsidRPr="003E1121">
        <w:rPr>
          <w:rFonts w:ascii="Calibri" w:hAnsi="Calibri" w:cs="Calibri"/>
          <w:noProof/>
          <w:sz w:val="24"/>
          <w:szCs w:val="24"/>
        </w:rPr>
        <w:t>, 255–256.</w:t>
      </w:r>
    </w:p>
    <w:p w:rsidR="003E1121" w:rsidRPr="003E1121" w:rsidRDefault="003E1121" w:rsidP="00D52D9E">
      <w:pPr>
        <w:widowControl w:val="0"/>
        <w:autoSpaceDE w:val="0"/>
        <w:autoSpaceDN w:val="0"/>
        <w:adjustRightInd w:val="0"/>
        <w:spacing w:line="240" w:lineRule="atLeast"/>
        <w:ind w:left="567" w:hangingChars="237" w:hanging="569"/>
        <w:rPr>
          <w:rFonts w:ascii="Calibri" w:hAnsi="Calibri" w:cs="Calibri"/>
          <w:noProof/>
          <w:sz w:val="24"/>
          <w:szCs w:val="24"/>
        </w:rPr>
      </w:pPr>
      <w:r w:rsidRPr="003E1121">
        <w:rPr>
          <w:rFonts w:ascii="Calibri" w:hAnsi="Calibri" w:cs="Calibri"/>
          <w:noProof/>
          <w:sz w:val="24"/>
          <w:szCs w:val="24"/>
        </w:rPr>
        <w:t xml:space="preserve">Li, Y. (2025). Strategies and Challenges in Advertising Slogan Translation: A Theoretical and Empirical Analysis. </w:t>
      </w:r>
      <w:r w:rsidRPr="003E1121">
        <w:rPr>
          <w:rFonts w:ascii="Calibri" w:hAnsi="Calibri" w:cs="Calibri"/>
          <w:i/>
          <w:iCs/>
          <w:noProof/>
          <w:sz w:val="24"/>
          <w:szCs w:val="24"/>
        </w:rPr>
        <w:t>International Journal of Languages, Literature and Linguistics</w:t>
      </w:r>
      <w:r w:rsidRPr="003E1121">
        <w:rPr>
          <w:rFonts w:ascii="Calibri" w:hAnsi="Calibri" w:cs="Calibri"/>
          <w:noProof/>
          <w:sz w:val="24"/>
          <w:szCs w:val="24"/>
        </w:rPr>
        <w:t xml:space="preserve">, </w:t>
      </w:r>
      <w:r w:rsidRPr="003E1121">
        <w:rPr>
          <w:rFonts w:ascii="Calibri" w:hAnsi="Calibri" w:cs="Calibri"/>
          <w:i/>
          <w:iCs/>
          <w:noProof/>
          <w:sz w:val="24"/>
          <w:szCs w:val="24"/>
        </w:rPr>
        <w:t>11</w:t>
      </w:r>
      <w:r w:rsidRPr="003E1121">
        <w:rPr>
          <w:rFonts w:ascii="Calibri" w:hAnsi="Calibri" w:cs="Calibri"/>
          <w:noProof/>
          <w:sz w:val="24"/>
          <w:szCs w:val="24"/>
        </w:rPr>
        <w:t>(1), 5–11. https://doi.org/10.18178/ijlll.2025.11.1.564</w:t>
      </w:r>
    </w:p>
    <w:p w:rsidR="003E1121" w:rsidRPr="003E1121" w:rsidRDefault="003E1121" w:rsidP="00D52D9E">
      <w:pPr>
        <w:widowControl w:val="0"/>
        <w:autoSpaceDE w:val="0"/>
        <w:autoSpaceDN w:val="0"/>
        <w:adjustRightInd w:val="0"/>
        <w:spacing w:line="240" w:lineRule="atLeast"/>
        <w:ind w:left="567" w:hangingChars="237" w:hanging="569"/>
        <w:rPr>
          <w:rFonts w:ascii="Calibri" w:hAnsi="Calibri" w:cs="Calibri"/>
          <w:noProof/>
          <w:sz w:val="24"/>
          <w:szCs w:val="24"/>
        </w:rPr>
      </w:pPr>
      <w:r w:rsidRPr="003E1121">
        <w:rPr>
          <w:rFonts w:ascii="Calibri" w:hAnsi="Calibri" w:cs="Calibri"/>
          <w:noProof/>
          <w:sz w:val="24"/>
          <w:szCs w:val="24"/>
        </w:rPr>
        <w:t xml:space="preserve">Luthfiyati, D., Widyastuti, W., &amp; Suhartono, S. (2024). </w:t>
      </w:r>
      <w:r w:rsidRPr="003E1121">
        <w:rPr>
          <w:rFonts w:ascii="Calibri" w:hAnsi="Calibri" w:cs="Calibri"/>
          <w:i/>
          <w:iCs/>
          <w:noProof/>
          <w:sz w:val="24"/>
          <w:szCs w:val="24"/>
        </w:rPr>
        <w:t>An Analysis of Systemic Functional Linguistics Interpersonal Meaning Representation in Classroom Interaction</w:t>
      </w:r>
      <w:r w:rsidRPr="003E1121">
        <w:rPr>
          <w:rFonts w:ascii="Calibri" w:hAnsi="Calibri" w:cs="Calibri"/>
          <w:noProof/>
          <w:sz w:val="24"/>
          <w:szCs w:val="24"/>
        </w:rPr>
        <w:t>. Atlantis Press SARL. https://doi.org/10.2991/978-2-38476-333-7_13</w:t>
      </w:r>
    </w:p>
    <w:p w:rsidR="003E1121" w:rsidRPr="003E1121" w:rsidRDefault="003E1121" w:rsidP="00D52D9E">
      <w:pPr>
        <w:widowControl w:val="0"/>
        <w:autoSpaceDE w:val="0"/>
        <w:autoSpaceDN w:val="0"/>
        <w:adjustRightInd w:val="0"/>
        <w:spacing w:line="240" w:lineRule="atLeast"/>
        <w:ind w:left="567" w:hangingChars="237" w:hanging="569"/>
        <w:rPr>
          <w:rFonts w:ascii="Calibri" w:hAnsi="Calibri" w:cs="Calibri"/>
          <w:noProof/>
          <w:sz w:val="24"/>
          <w:szCs w:val="24"/>
        </w:rPr>
      </w:pPr>
      <w:r w:rsidRPr="003E1121">
        <w:rPr>
          <w:rFonts w:ascii="Calibri" w:hAnsi="Calibri" w:cs="Calibri"/>
          <w:noProof/>
          <w:sz w:val="24"/>
          <w:szCs w:val="24"/>
        </w:rPr>
        <w:t xml:space="preserve">Muhtadi, R., Situmorang, A., Maisaroh, A. D., Aulia, D., Sitorus, J. B., Murni, S. M., &amp; </w:t>
      </w:r>
      <w:r w:rsidRPr="003E1121">
        <w:rPr>
          <w:rFonts w:ascii="Calibri" w:hAnsi="Calibri" w:cs="Calibri"/>
          <w:noProof/>
          <w:sz w:val="24"/>
          <w:szCs w:val="24"/>
        </w:rPr>
        <w:lastRenderedPageBreak/>
        <w:t xml:space="preserve">Tambunan, A. R. (2025). </w:t>
      </w:r>
      <w:r w:rsidRPr="003E1121">
        <w:rPr>
          <w:rFonts w:ascii="Calibri" w:hAnsi="Calibri" w:cs="Calibri"/>
          <w:i/>
          <w:iCs/>
          <w:noProof/>
          <w:sz w:val="24"/>
          <w:szCs w:val="24"/>
        </w:rPr>
        <w:t>Language Identity and Cultural Integration Among Rural-to-Urban University Students</w:t>
      </w:r>
      <w:r w:rsidRPr="003E1121">
        <w:rPr>
          <w:rFonts w:ascii="Calibri" w:hAnsi="Calibri" w:cs="Calibri"/>
          <w:noProof/>
          <w:sz w:val="24"/>
          <w:szCs w:val="24"/>
        </w:rPr>
        <w:t xml:space="preserve">. </w:t>
      </w:r>
      <w:r w:rsidRPr="003E1121">
        <w:rPr>
          <w:rFonts w:ascii="Calibri" w:hAnsi="Calibri" w:cs="Calibri"/>
          <w:i/>
          <w:iCs/>
          <w:noProof/>
          <w:sz w:val="24"/>
          <w:szCs w:val="24"/>
        </w:rPr>
        <w:t>9</w:t>
      </w:r>
      <w:r w:rsidRPr="003E1121">
        <w:rPr>
          <w:rFonts w:ascii="Calibri" w:hAnsi="Calibri" w:cs="Calibri"/>
          <w:noProof/>
          <w:sz w:val="24"/>
          <w:szCs w:val="24"/>
        </w:rPr>
        <w:t>(1), 193–203.</w:t>
      </w:r>
    </w:p>
    <w:p w:rsidR="003E1121" w:rsidRPr="003E1121" w:rsidRDefault="003E1121" w:rsidP="00D52D9E">
      <w:pPr>
        <w:widowControl w:val="0"/>
        <w:autoSpaceDE w:val="0"/>
        <w:autoSpaceDN w:val="0"/>
        <w:adjustRightInd w:val="0"/>
        <w:spacing w:line="240" w:lineRule="atLeast"/>
        <w:ind w:left="567" w:hangingChars="237" w:hanging="569"/>
        <w:rPr>
          <w:rFonts w:ascii="Calibri" w:hAnsi="Calibri" w:cs="Calibri"/>
          <w:noProof/>
          <w:sz w:val="24"/>
          <w:szCs w:val="24"/>
        </w:rPr>
      </w:pPr>
      <w:r w:rsidRPr="003E1121">
        <w:rPr>
          <w:rFonts w:ascii="Calibri" w:hAnsi="Calibri" w:cs="Calibri"/>
          <w:noProof/>
          <w:sz w:val="24"/>
          <w:szCs w:val="24"/>
        </w:rPr>
        <w:t xml:space="preserve">Sandelowski, M. (2000). Whatever Happened to Qualitative Description? </w:t>
      </w:r>
      <w:r w:rsidRPr="003E1121">
        <w:rPr>
          <w:rFonts w:ascii="Calibri" w:hAnsi="Calibri" w:cs="Calibri"/>
          <w:i/>
          <w:iCs/>
          <w:noProof/>
          <w:sz w:val="24"/>
          <w:szCs w:val="24"/>
        </w:rPr>
        <w:t>Research in Nursing &amp; Health</w:t>
      </w:r>
      <w:r w:rsidRPr="003E1121">
        <w:rPr>
          <w:rFonts w:ascii="Calibri" w:hAnsi="Calibri" w:cs="Calibri"/>
          <w:noProof/>
          <w:sz w:val="24"/>
          <w:szCs w:val="24"/>
        </w:rPr>
        <w:t xml:space="preserve">, </w:t>
      </w:r>
      <w:r w:rsidRPr="003E1121">
        <w:rPr>
          <w:rFonts w:ascii="Calibri" w:hAnsi="Calibri" w:cs="Calibri"/>
          <w:i/>
          <w:iCs/>
          <w:noProof/>
          <w:sz w:val="24"/>
          <w:szCs w:val="24"/>
        </w:rPr>
        <w:t>23</w:t>
      </w:r>
      <w:r w:rsidRPr="003E1121">
        <w:rPr>
          <w:rFonts w:ascii="Calibri" w:hAnsi="Calibri" w:cs="Calibri"/>
          <w:noProof/>
          <w:sz w:val="24"/>
          <w:szCs w:val="24"/>
        </w:rPr>
        <w:t>, 334–340. http://futureideas.eu/choosing-a-research-design-part-1-philosophies-and-approaches/%0Ahttp://wolf.wlv.ac.uk%0Ahttp://www.vitae.ac.uk/researchers/428241/Vitae-Researcher-Development-Framework.html%0Ahttp://doi.wiley.com/10.1002/1098-240X%28200008%2923%3A4</w:t>
      </w:r>
    </w:p>
    <w:p w:rsidR="003E1121" w:rsidRPr="003E1121" w:rsidRDefault="003E1121" w:rsidP="00D52D9E">
      <w:pPr>
        <w:widowControl w:val="0"/>
        <w:autoSpaceDE w:val="0"/>
        <w:autoSpaceDN w:val="0"/>
        <w:adjustRightInd w:val="0"/>
        <w:spacing w:line="240" w:lineRule="atLeast"/>
        <w:ind w:left="567" w:hangingChars="237" w:hanging="569"/>
        <w:rPr>
          <w:rFonts w:ascii="Calibri" w:hAnsi="Calibri" w:cs="Calibri"/>
          <w:noProof/>
          <w:sz w:val="24"/>
          <w:szCs w:val="24"/>
        </w:rPr>
      </w:pPr>
      <w:r w:rsidRPr="003E1121">
        <w:rPr>
          <w:rFonts w:ascii="Calibri" w:hAnsi="Calibri" w:cs="Calibri"/>
          <w:noProof/>
          <w:sz w:val="24"/>
          <w:szCs w:val="24"/>
        </w:rPr>
        <w:t xml:space="preserve">Sari, E., Mulyadi, M., &amp; Zulfan, Z. (2025). Taboo Expressions in Asahan Malay: an Ethnolinguistic Approach. </w:t>
      </w:r>
      <w:r w:rsidRPr="003E1121">
        <w:rPr>
          <w:rFonts w:ascii="Calibri" w:hAnsi="Calibri" w:cs="Calibri"/>
          <w:i/>
          <w:iCs/>
          <w:noProof/>
          <w:sz w:val="24"/>
          <w:szCs w:val="24"/>
        </w:rPr>
        <w:t>Language Literacy: Journal of Linguistics, Literature, and Language Teaching</w:t>
      </w:r>
      <w:r w:rsidRPr="003E1121">
        <w:rPr>
          <w:rFonts w:ascii="Calibri" w:hAnsi="Calibri" w:cs="Calibri"/>
          <w:noProof/>
          <w:sz w:val="24"/>
          <w:szCs w:val="24"/>
        </w:rPr>
        <w:t xml:space="preserve">, </w:t>
      </w:r>
      <w:r w:rsidRPr="003E1121">
        <w:rPr>
          <w:rFonts w:ascii="Calibri" w:hAnsi="Calibri" w:cs="Calibri"/>
          <w:i/>
          <w:iCs/>
          <w:noProof/>
          <w:sz w:val="24"/>
          <w:szCs w:val="24"/>
        </w:rPr>
        <w:t>9</w:t>
      </w:r>
      <w:r w:rsidRPr="003E1121">
        <w:rPr>
          <w:rFonts w:ascii="Calibri" w:hAnsi="Calibri" w:cs="Calibri"/>
          <w:noProof/>
          <w:sz w:val="24"/>
          <w:szCs w:val="24"/>
        </w:rPr>
        <w:t>(1), 216–226. https://doi.org/10.30743/ll.v9i1.10456</w:t>
      </w:r>
    </w:p>
    <w:p w:rsidR="003E1121" w:rsidRPr="003E1121" w:rsidRDefault="003E1121" w:rsidP="00D52D9E">
      <w:pPr>
        <w:widowControl w:val="0"/>
        <w:autoSpaceDE w:val="0"/>
        <w:autoSpaceDN w:val="0"/>
        <w:adjustRightInd w:val="0"/>
        <w:spacing w:line="240" w:lineRule="atLeast"/>
        <w:ind w:left="567" w:hangingChars="237" w:hanging="569"/>
        <w:rPr>
          <w:rFonts w:ascii="Calibri" w:hAnsi="Calibri" w:cs="Calibri"/>
          <w:noProof/>
          <w:sz w:val="24"/>
          <w:szCs w:val="24"/>
        </w:rPr>
      </w:pPr>
      <w:r w:rsidRPr="003E1121">
        <w:rPr>
          <w:rFonts w:ascii="Calibri" w:hAnsi="Calibri" w:cs="Calibri"/>
          <w:noProof/>
          <w:sz w:val="24"/>
          <w:szCs w:val="24"/>
        </w:rPr>
        <w:t xml:space="preserve">Septiani, R. M. (2025). Standardizing Beauty Through Advertising: a Critical Discourse Analysis of Garnier Light Complete Serum Cream – Chelsea Islan Edition. </w:t>
      </w:r>
      <w:r w:rsidRPr="003E1121">
        <w:rPr>
          <w:rFonts w:ascii="Calibri" w:hAnsi="Calibri" w:cs="Calibri"/>
          <w:i/>
          <w:iCs/>
          <w:noProof/>
          <w:sz w:val="24"/>
          <w:szCs w:val="24"/>
        </w:rPr>
        <w:t>Language Literacy: Journal of Linguistics, Literature, and Language Teaching</w:t>
      </w:r>
      <w:r w:rsidRPr="003E1121">
        <w:rPr>
          <w:rFonts w:ascii="Calibri" w:hAnsi="Calibri" w:cs="Calibri"/>
          <w:noProof/>
          <w:sz w:val="24"/>
          <w:szCs w:val="24"/>
        </w:rPr>
        <w:t xml:space="preserve">, </w:t>
      </w:r>
      <w:r w:rsidRPr="003E1121">
        <w:rPr>
          <w:rFonts w:ascii="Calibri" w:hAnsi="Calibri" w:cs="Calibri"/>
          <w:i/>
          <w:iCs/>
          <w:noProof/>
          <w:sz w:val="24"/>
          <w:szCs w:val="24"/>
        </w:rPr>
        <w:t>9</w:t>
      </w:r>
      <w:r w:rsidRPr="003E1121">
        <w:rPr>
          <w:rFonts w:ascii="Calibri" w:hAnsi="Calibri" w:cs="Calibri"/>
          <w:noProof/>
          <w:sz w:val="24"/>
          <w:szCs w:val="24"/>
        </w:rPr>
        <w:t>(1), 304–316. https://doi.org/10.30743/ll.v9i1.11104</w:t>
      </w:r>
    </w:p>
    <w:p w:rsidR="003E1121" w:rsidRPr="003E1121" w:rsidRDefault="003E1121" w:rsidP="00D52D9E">
      <w:pPr>
        <w:widowControl w:val="0"/>
        <w:autoSpaceDE w:val="0"/>
        <w:autoSpaceDN w:val="0"/>
        <w:adjustRightInd w:val="0"/>
        <w:spacing w:line="240" w:lineRule="atLeast"/>
        <w:ind w:left="567" w:hangingChars="237" w:hanging="569"/>
        <w:rPr>
          <w:rFonts w:ascii="Calibri" w:hAnsi="Calibri" w:cs="Calibri"/>
          <w:noProof/>
          <w:sz w:val="24"/>
          <w:szCs w:val="24"/>
        </w:rPr>
      </w:pPr>
      <w:r w:rsidRPr="003E1121">
        <w:rPr>
          <w:rFonts w:ascii="Calibri" w:hAnsi="Calibri" w:cs="Calibri"/>
          <w:noProof/>
          <w:sz w:val="24"/>
          <w:szCs w:val="24"/>
        </w:rPr>
        <w:t xml:space="preserve">Solihat, S. R., Al Farisi, M. Z., &amp; Saleh, N. (2025). Translating Taboo Speech Act in the Omar Series: a Pragmatic and Technique-Based Analysis of Arabic-Indonesian Subtitles. </w:t>
      </w:r>
      <w:r w:rsidRPr="003E1121">
        <w:rPr>
          <w:rFonts w:ascii="Calibri" w:hAnsi="Calibri" w:cs="Calibri"/>
          <w:i/>
          <w:iCs/>
          <w:noProof/>
          <w:sz w:val="24"/>
          <w:szCs w:val="24"/>
        </w:rPr>
        <w:t>Language Literacy: Journal of Linguistics, Literature, and Language Teaching</w:t>
      </w:r>
      <w:r w:rsidRPr="003E1121">
        <w:rPr>
          <w:rFonts w:ascii="Calibri" w:hAnsi="Calibri" w:cs="Calibri"/>
          <w:noProof/>
          <w:sz w:val="24"/>
          <w:szCs w:val="24"/>
        </w:rPr>
        <w:t xml:space="preserve">, </w:t>
      </w:r>
      <w:r w:rsidRPr="003E1121">
        <w:rPr>
          <w:rFonts w:ascii="Calibri" w:hAnsi="Calibri" w:cs="Calibri"/>
          <w:i/>
          <w:iCs/>
          <w:noProof/>
          <w:sz w:val="24"/>
          <w:szCs w:val="24"/>
        </w:rPr>
        <w:t>9</w:t>
      </w:r>
      <w:r w:rsidRPr="003E1121">
        <w:rPr>
          <w:rFonts w:ascii="Calibri" w:hAnsi="Calibri" w:cs="Calibri"/>
          <w:noProof/>
          <w:sz w:val="24"/>
          <w:szCs w:val="24"/>
        </w:rPr>
        <w:t>(1), 255–268. https://doi.org/10.30743/ll.v9i1.11265</w:t>
      </w:r>
    </w:p>
    <w:p w:rsidR="003E1121" w:rsidRPr="003E1121" w:rsidRDefault="003E1121" w:rsidP="00D52D9E">
      <w:pPr>
        <w:widowControl w:val="0"/>
        <w:autoSpaceDE w:val="0"/>
        <w:autoSpaceDN w:val="0"/>
        <w:adjustRightInd w:val="0"/>
        <w:spacing w:line="240" w:lineRule="atLeast"/>
        <w:ind w:left="567" w:hangingChars="237" w:hanging="569"/>
        <w:rPr>
          <w:rFonts w:ascii="Calibri" w:hAnsi="Calibri" w:cs="Calibri"/>
          <w:noProof/>
          <w:sz w:val="24"/>
          <w:szCs w:val="24"/>
        </w:rPr>
      </w:pPr>
      <w:r w:rsidRPr="003E1121">
        <w:rPr>
          <w:rFonts w:ascii="Calibri" w:hAnsi="Calibri" w:cs="Calibri"/>
          <w:noProof/>
          <w:sz w:val="24"/>
          <w:szCs w:val="24"/>
        </w:rPr>
        <w:t xml:space="preserve">Sumari, B. A. D. (2024). Interpersonal Metafunction Analysis of Smartphone Slogans. </w:t>
      </w:r>
      <w:r w:rsidRPr="003E1121">
        <w:rPr>
          <w:rFonts w:ascii="Calibri" w:hAnsi="Calibri" w:cs="Calibri"/>
          <w:i/>
          <w:iCs/>
          <w:noProof/>
          <w:sz w:val="24"/>
          <w:szCs w:val="24"/>
        </w:rPr>
        <w:t>International Journal of English Education and Linguistics (IJoEEL)</w:t>
      </w:r>
      <w:r w:rsidRPr="003E1121">
        <w:rPr>
          <w:rFonts w:ascii="Calibri" w:hAnsi="Calibri" w:cs="Calibri"/>
          <w:noProof/>
          <w:sz w:val="24"/>
          <w:szCs w:val="24"/>
        </w:rPr>
        <w:t xml:space="preserve">, </w:t>
      </w:r>
      <w:r w:rsidRPr="003E1121">
        <w:rPr>
          <w:rFonts w:ascii="Calibri" w:hAnsi="Calibri" w:cs="Calibri"/>
          <w:i/>
          <w:iCs/>
          <w:noProof/>
          <w:sz w:val="24"/>
          <w:szCs w:val="24"/>
        </w:rPr>
        <w:t>6</w:t>
      </w:r>
      <w:r w:rsidRPr="003E1121">
        <w:rPr>
          <w:rFonts w:ascii="Calibri" w:hAnsi="Calibri" w:cs="Calibri"/>
          <w:noProof/>
          <w:sz w:val="24"/>
          <w:szCs w:val="24"/>
        </w:rPr>
        <w:t>(1), 81–91. https://doi.org/10.33650/ijoeel.v6i1.8194</w:t>
      </w:r>
    </w:p>
    <w:p w:rsidR="003E1121" w:rsidRPr="003E1121" w:rsidRDefault="003E1121" w:rsidP="00D52D9E">
      <w:pPr>
        <w:widowControl w:val="0"/>
        <w:autoSpaceDE w:val="0"/>
        <w:autoSpaceDN w:val="0"/>
        <w:adjustRightInd w:val="0"/>
        <w:spacing w:line="240" w:lineRule="atLeast"/>
        <w:ind w:left="567" w:hangingChars="237" w:hanging="569"/>
        <w:rPr>
          <w:rFonts w:ascii="Calibri" w:hAnsi="Calibri" w:cs="Calibri"/>
          <w:noProof/>
          <w:sz w:val="24"/>
        </w:rPr>
      </w:pPr>
      <w:r w:rsidRPr="003E1121">
        <w:rPr>
          <w:rFonts w:ascii="Calibri" w:hAnsi="Calibri" w:cs="Calibri"/>
          <w:noProof/>
          <w:sz w:val="24"/>
          <w:szCs w:val="24"/>
        </w:rPr>
        <w:t xml:space="preserve">Syafitri, S. E. P. (2025). Interpersonal Metafunction in Preschool Enrollment Brochures : A SFL Analysis in Langsa. </w:t>
      </w:r>
      <w:r w:rsidRPr="003E1121">
        <w:rPr>
          <w:rFonts w:ascii="Calibri" w:hAnsi="Calibri" w:cs="Calibri"/>
          <w:i/>
          <w:iCs/>
          <w:noProof/>
          <w:sz w:val="24"/>
          <w:szCs w:val="24"/>
        </w:rPr>
        <w:t>Language Literacy: Journal of Linguistics, Literature, and Language Teaching</w:t>
      </w:r>
      <w:r w:rsidRPr="003E1121">
        <w:rPr>
          <w:rFonts w:ascii="Calibri" w:hAnsi="Calibri" w:cs="Calibri"/>
          <w:noProof/>
          <w:sz w:val="24"/>
          <w:szCs w:val="24"/>
        </w:rPr>
        <w:t xml:space="preserve">, </w:t>
      </w:r>
      <w:r w:rsidRPr="003E1121">
        <w:rPr>
          <w:rFonts w:ascii="Calibri" w:hAnsi="Calibri" w:cs="Calibri"/>
          <w:i/>
          <w:iCs/>
          <w:noProof/>
          <w:sz w:val="24"/>
          <w:szCs w:val="24"/>
        </w:rPr>
        <w:t>9</w:t>
      </w:r>
      <w:r w:rsidRPr="003E1121">
        <w:rPr>
          <w:rFonts w:ascii="Calibri" w:hAnsi="Calibri" w:cs="Calibri"/>
          <w:noProof/>
          <w:sz w:val="24"/>
          <w:szCs w:val="24"/>
        </w:rPr>
        <w:t>(1), 114–124.</w:t>
      </w:r>
    </w:p>
    <w:p w:rsidR="006A7313" w:rsidRPr="00877F28" w:rsidRDefault="00B36C8D" w:rsidP="00484C3C">
      <w:pPr>
        <w:widowControl w:val="0"/>
        <w:autoSpaceDE w:val="0"/>
        <w:autoSpaceDN w:val="0"/>
        <w:adjustRightInd w:val="0"/>
        <w:spacing w:line="240" w:lineRule="atLeast"/>
        <w:ind w:left="0" w:hanging="2"/>
        <w:rPr>
          <w:rFonts w:asciiTheme="majorHAnsi" w:eastAsia="Calibri" w:hAnsiTheme="majorHAnsi" w:cstheme="majorHAnsi"/>
          <w:sz w:val="24"/>
          <w:szCs w:val="24"/>
        </w:rPr>
      </w:pPr>
      <w:r w:rsidRPr="00877F28">
        <w:rPr>
          <w:rFonts w:asciiTheme="majorHAnsi" w:eastAsia="Calibri" w:hAnsiTheme="majorHAnsi" w:cstheme="majorHAnsi"/>
          <w:sz w:val="24"/>
          <w:szCs w:val="24"/>
        </w:rPr>
        <w:fldChar w:fldCharType="end"/>
      </w:r>
    </w:p>
    <w:sectPr w:rsidR="006A7313" w:rsidRPr="00877F28">
      <w:headerReference w:type="even" r:id="rId11"/>
      <w:headerReference w:type="default" r:id="rId12"/>
      <w:footerReference w:type="even" r:id="rId13"/>
      <w:footerReference w:type="default" r:id="rId14"/>
      <w:headerReference w:type="first" r:id="rId15"/>
      <w:footerReference w:type="first" r:id="rId16"/>
      <w:pgSz w:w="11907" w:h="16840"/>
      <w:pgMar w:top="1418" w:right="1418" w:bottom="1418" w:left="1418" w:header="284" w:footer="567"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43D2" w:rsidRDefault="003E43D2" w:rsidP="00415587">
      <w:pPr>
        <w:spacing w:line="240" w:lineRule="auto"/>
        <w:ind w:left="0" w:hanging="2"/>
      </w:pPr>
      <w:r>
        <w:separator/>
      </w:r>
    </w:p>
  </w:endnote>
  <w:endnote w:type="continuationSeparator" w:id="0">
    <w:p w:rsidR="003E43D2" w:rsidRDefault="003E43D2" w:rsidP="00415587">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charset w:val="00"/>
    <w:family w:val="roman"/>
    <w:pitch w:val="variable"/>
  </w:font>
  <w:font w:name="MS Mincho">
    <w:altName w:val="MS Gothic"/>
    <w:panose1 w:val="02020609040205080304"/>
    <w:charset w:val="80"/>
    <w:family w:val="roman"/>
    <w:notTrueType/>
    <w:pitch w:val="fixed"/>
    <w:sig w:usb0="00000000" w:usb1="08070000" w:usb2="00000010" w:usb3="00000000" w:csb0="00020000" w:csb1="00000000"/>
  </w:font>
  <w:font w:name="BatangChe">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7313" w:rsidRDefault="003E43D2" w:rsidP="00415587">
    <w:pPr>
      <w:pBdr>
        <w:top w:val="nil"/>
        <w:left w:val="nil"/>
        <w:bottom w:val="nil"/>
        <w:right w:val="nil"/>
        <w:between w:val="nil"/>
      </w:pBdr>
      <w:tabs>
        <w:tab w:val="left" w:pos="2460"/>
        <w:tab w:val="left" w:pos="7626"/>
        <w:tab w:val="right" w:pos="7797"/>
        <w:tab w:val="right" w:pos="9072"/>
        <w:tab w:val="right" w:pos="9356"/>
      </w:tabs>
      <w:spacing w:line="240" w:lineRule="auto"/>
      <w:ind w:left="0" w:right="-1" w:hanging="2"/>
      <w:rPr>
        <w:rFonts w:ascii="Calibri" w:eastAsia="Calibri" w:hAnsi="Calibri" w:cs="Calibri"/>
        <w:color w:val="000000"/>
      </w:rPr>
    </w:pPr>
    <w:hyperlink r:id="rId1">
      <w:r w:rsidR="000934A7">
        <w:rPr>
          <w:rFonts w:ascii="Calibri" w:eastAsia="Calibri" w:hAnsi="Calibri" w:cs="Calibri"/>
          <w:color w:val="000000"/>
        </w:rPr>
        <w:t>https://jurnal.uisu.ac.id/index.php/languageliteracy</w:t>
      </w:r>
    </w:hyperlink>
    <w:r w:rsidR="000934A7">
      <w:rPr>
        <w:rFonts w:ascii="Calibri" w:eastAsia="Calibri" w:hAnsi="Calibri" w:cs="Calibri"/>
        <w:color w:val="000000"/>
      </w:rPr>
      <w:tab/>
    </w:r>
    <w:r w:rsidR="000934A7">
      <w:rPr>
        <w:rFonts w:ascii="Calibri" w:eastAsia="Calibri" w:hAnsi="Calibri" w:cs="Calibri"/>
        <w:color w:val="000000"/>
      </w:rPr>
      <w:tab/>
    </w:r>
    <w:r w:rsidR="000934A7">
      <w:rPr>
        <w:rFonts w:ascii="Calibri" w:eastAsia="Calibri" w:hAnsi="Calibri" w:cs="Calibri"/>
        <w:color w:val="000000"/>
      </w:rPr>
      <w:tab/>
    </w:r>
    <w:r w:rsidR="000934A7">
      <w:rPr>
        <w:rFonts w:ascii="Calibri" w:eastAsia="Calibri" w:hAnsi="Calibri" w:cs="Calibri"/>
        <w:color w:val="000000"/>
      </w:rPr>
      <w:tab/>
    </w:r>
  </w:p>
  <w:p w:rsidR="006A7313" w:rsidRDefault="000934A7" w:rsidP="00415587">
    <w:pPr>
      <w:pBdr>
        <w:top w:val="nil"/>
        <w:left w:val="nil"/>
        <w:bottom w:val="nil"/>
        <w:right w:val="nil"/>
        <w:between w:val="nil"/>
      </w:pBdr>
      <w:spacing w:line="240" w:lineRule="auto"/>
      <w:ind w:left="0" w:hanging="2"/>
      <w:rPr>
        <w:rFonts w:ascii="Calibri" w:eastAsia="Calibri" w:hAnsi="Calibri" w:cs="Calibri"/>
        <w:color w:val="000000"/>
      </w:rPr>
    </w:pPr>
    <w:r>
      <w:rPr>
        <w:rFonts w:ascii="Calibri" w:eastAsia="Calibri" w:hAnsi="Calibri" w:cs="Calibri"/>
        <w:color w:val="000000"/>
      </w:rPr>
      <w:t>Nationally Accredited SINTA 3, and indexed in DOAJ and Copernicus</w:t>
    </w:r>
  </w:p>
  <w:p w:rsidR="006A7313" w:rsidRDefault="006A7313" w:rsidP="00415587">
    <w:pPr>
      <w:pBdr>
        <w:top w:val="nil"/>
        <w:left w:val="nil"/>
        <w:bottom w:val="nil"/>
        <w:right w:val="nil"/>
        <w:between w:val="nil"/>
      </w:pBdr>
      <w:spacing w:line="240" w:lineRule="auto"/>
      <w:ind w:left="0" w:hanging="2"/>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7313" w:rsidRDefault="003E43D2" w:rsidP="00415587">
    <w:pPr>
      <w:pBdr>
        <w:top w:val="nil"/>
        <w:left w:val="nil"/>
        <w:bottom w:val="nil"/>
        <w:right w:val="nil"/>
        <w:between w:val="nil"/>
      </w:pBdr>
      <w:tabs>
        <w:tab w:val="left" w:pos="2460"/>
        <w:tab w:val="left" w:pos="7626"/>
        <w:tab w:val="right" w:pos="7797"/>
        <w:tab w:val="right" w:pos="9072"/>
        <w:tab w:val="right" w:pos="9356"/>
      </w:tabs>
      <w:spacing w:line="240" w:lineRule="auto"/>
      <w:ind w:left="0" w:right="-1" w:hanging="2"/>
      <w:rPr>
        <w:rFonts w:ascii="Calibri" w:eastAsia="Calibri" w:hAnsi="Calibri" w:cs="Calibri"/>
        <w:color w:val="000000"/>
      </w:rPr>
    </w:pPr>
    <w:hyperlink r:id="rId1">
      <w:r w:rsidR="000934A7">
        <w:rPr>
          <w:rFonts w:ascii="Calibri" w:eastAsia="Calibri" w:hAnsi="Calibri" w:cs="Calibri"/>
          <w:color w:val="000000"/>
        </w:rPr>
        <w:t>https://jurnal.uisu.ac.id/index.php/languageliteracy</w:t>
      </w:r>
    </w:hyperlink>
    <w:r w:rsidR="000934A7">
      <w:rPr>
        <w:rFonts w:ascii="Calibri" w:eastAsia="Calibri" w:hAnsi="Calibri" w:cs="Calibri"/>
        <w:color w:val="000000"/>
      </w:rPr>
      <w:tab/>
    </w:r>
    <w:r w:rsidR="000934A7">
      <w:rPr>
        <w:rFonts w:ascii="Calibri" w:eastAsia="Calibri" w:hAnsi="Calibri" w:cs="Calibri"/>
        <w:color w:val="000000"/>
      </w:rPr>
      <w:tab/>
    </w:r>
    <w:r w:rsidR="000934A7">
      <w:rPr>
        <w:rFonts w:ascii="Calibri" w:eastAsia="Calibri" w:hAnsi="Calibri" w:cs="Calibri"/>
        <w:color w:val="000000"/>
      </w:rPr>
      <w:tab/>
    </w:r>
    <w:r w:rsidR="000934A7">
      <w:rPr>
        <w:rFonts w:ascii="Calibri" w:eastAsia="Calibri" w:hAnsi="Calibri" w:cs="Calibri"/>
        <w:color w:val="000000"/>
      </w:rPr>
      <w:tab/>
    </w:r>
  </w:p>
  <w:p w:rsidR="006A7313" w:rsidRDefault="000934A7" w:rsidP="00415587">
    <w:pPr>
      <w:pBdr>
        <w:top w:val="nil"/>
        <w:left w:val="nil"/>
        <w:bottom w:val="nil"/>
        <w:right w:val="nil"/>
        <w:between w:val="nil"/>
      </w:pBdr>
      <w:spacing w:line="240" w:lineRule="auto"/>
      <w:ind w:left="0" w:hanging="2"/>
      <w:rPr>
        <w:rFonts w:ascii="Calibri" w:eastAsia="Calibri" w:hAnsi="Calibri" w:cs="Calibri"/>
        <w:color w:val="000000"/>
      </w:rPr>
    </w:pPr>
    <w:r>
      <w:rPr>
        <w:rFonts w:ascii="Calibri" w:eastAsia="Calibri" w:hAnsi="Calibri" w:cs="Calibri"/>
        <w:color w:val="000000"/>
      </w:rPr>
      <w:t>Nationally Accredited SINTA 3, and indexed in DOAJ and Copernicus</w:t>
    </w:r>
  </w:p>
  <w:p w:rsidR="006A7313" w:rsidRDefault="006A7313" w:rsidP="00415587">
    <w:pPr>
      <w:pBdr>
        <w:top w:val="nil"/>
        <w:left w:val="nil"/>
        <w:bottom w:val="nil"/>
        <w:right w:val="nil"/>
        <w:between w:val="nil"/>
      </w:pBdr>
      <w:spacing w:line="240" w:lineRule="auto"/>
      <w:ind w:left="0" w:hanging="2"/>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7313" w:rsidRDefault="006A7313" w:rsidP="00415587">
    <w:pPr>
      <w:pBdr>
        <w:top w:val="nil"/>
        <w:left w:val="nil"/>
        <w:bottom w:val="nil"/>
        <w:right w:val="nil"/>
        <w:between w:val="nil"/>
      </w:pBdr>
      <w:spacing w:line="240" w:lineRule="auto"/>
      <w:ind w:left="0" w:hanging="2"/>
      <w:jc w:val="right"/>
      <w:rPr>
        <w:color w:val="000000"/>
      </w:rPr>
    </w:pPr>
  </w:p>
  <w:p w:rsidR="006A7313" w:rsidRDefault="006A7313" w:rsidP="00415587">
    <w:pPr>
      <w:pBdr>
        <w:top w:val="nil"/>
        <w:left w:val="nil"/>
        <w:bottom w:val="nil"/>
        <w:right w:val="nil"/>
        <w:between w:val="nil"/>
      </w:pBdr>
      <w:spacing w:line="240" w:lineRule="auto"/>
      <w:ind w:left="0" w:hanging="2"/>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43D2" w:rsidRDefault="003E43D2" w:rsidP="00415587">
      <w:pPr>
        <w:spacing w:line="240" w:lineRule="auto"/>
        <w:ind w:left="0" w:hanging="2"/>
      </w:pPr>
      <w:r>
        <w:separator/>
      </w:r>
    </w:p>
  </w:footnote>
  <w:footnote w:type="continuationSeparator" w:id="0">
    <w:p w:rsidR="003E43D2" w:rsidRDefault="003E43D2" w:rsidP="00415587">
      <w:pPr>
        <w:spacing w:line="240" w:lineRule="auto"/>
        <w:ind w:left="0" w:hang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7313" w:rsidRDefault="000934A7" w:rsidP="00415587">
    <w:pPr>
      <w:pStyle w:val="Title"/>
      <w:ind w:left="0" w:hanging="2"/>
      <w:jc w:val="both"/>
      <w:rPr>
        <w:rFonts w:ascii="Calibri" w:eastAsia="Calibri" w:hAnsi="Calibri" w:cs="Calibri"/>
        <w:b w:val="0"/>
        <w:sz w:val="20"/>
        <w:szCs w:val="20"/>
      </w:rPr>
    </w:pPr>
    <w:r>
      <w:rPr>
        <w:rFonts w:ascii="Calibri" w:eastAsia="Calibri" w:hAnsi="Calibri" w:cs="Calibri"/>
        <w:b w:val="0"/>
        <w:sz w:val="20"/>
        <w:szCs w:val="20"/>
      </w:rPr>
      <w:t>The Title is The Fewest Possible Words (Not More Than 12 Words), it Must Accurately Describe The Content/Topic Of Discussion</w:t>
    </w:r>
    <w:r>
      <w:rPr>
        <w:rFonts w:ascii="Calibri" w:eastAsia="Calibri" w:hAnsi="Calibri" w:cs="Calibri"/>
        <w:sz w:val="20"/>
        <w:szCs w:val="20"/>
      </w:rPr>
      <w:t xml:space="preserve">, </w:t>
    </w:r>
    <w:r>
      <w:rPr>
        <w:rFonts w:ascii="Calibri" w:eastAsia="Calibri" w:hAnsi="Calibri" w:cs="Calibri"/>
        <w:b w:val="0"/>
        <w:sz w:val="20"/>
        <w:szCs w:val="20"/>
      </w:rPr>
      <w:t xml:space="preserve">First Autor, Second Author, Third Author </w:t>
    </w:r>
  </w:p>
  <w:p w:rsidR="006A7313" w:rsidRDefault="006A7313" w:rsidP="00415587">
    <w:pPr>
      <w:pBdr>
        <w:top w:val="nil"/>
        <w:left w:val="nil"/>
        <w:bottom w:val="nil"/>
        <w:right w:val="nil"/>
        <w:between w:val="nil"/>
      </w:pBdr>
      <w:spacing w:line="240" w:lineRule="auto"/>
      <w:ind w:left="0" w:hanging="2"/>
      <w:jc w:val="both"/>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7313" w:rsidRDefault="000934A7" w:rsidP="00415587">
    <w:pPr>
      <w:pBdr>
        <w:top w:val="nil"/>
        <w:left w:val="nil"/>
        <w:bottom w:val="nil"/>
        <w:right w:val="nil"/>
        <w:between w:val="nil"/>
      </w:pBdr>
      <w:spacing w:line="240" w:lineRule="auto"/>
      <w:ind w:left="0" w:hanging="2"/>
      <w:rPr>
        <w:rFonts w:ascii="Calibri" w:eastAsia="Calibri" w:hAnsi="Calibri" w:cs="Calibri"/>
        <w:color w:val="000000"/>
      </w:rPr>
    </w:pPr>
    <w:r>
      <w:rPr>
        <w:rFonts w:ascii="Calibri" w:eastAsia="Calibri" w:hAnsi="Calibri" w:cs="Calibri"/>
        <w:b/>
        <w:color w:val="000000"/>
      </w:rPr>
      <w:t>Language Literacy: Journal of Linguistics, Literature and Language Teaching</w:t>
    </w:r>
  </w:p>
  <w:p w:rsidR="006A7313" w:rsidRDefault="00C9079C" w:rsidP="00415587">
    <w:pPr>
      <w:pBdr>
        <w:top w:val="nil"/>
        <w:left w:val="nil"/>
        <w:bottom w:val="nil"/>
        <w:right w:val="nil"/>
        <w:between w:val="nil"/>
      </w:pBdr>
      <w:tabs>
        <w:tab w:val="left" w:pos="2460"/>
      </w:tabs>
      <w:spacing w:line="240" w:lineRule="auto"/>
      <w:ind w:left="0" w:hanging="2"/>
      <w:rPr>
        <w:rFonts w:ascii="Calibri" w:eastAsia="Calibri" w:hAnsi="Calibri" w:cs="Calibri"/>
        <w:b/>
        <w:color w:val="000000"/>
        <w:highlight w:val="white"/>
      </w:rPr>
    </w:pPr>
    <w:r>
      <w:rPr>
        <w:rFonts w:ascii="Calibri" w:eastAsia="Calibri" w:hAnsi="Calibri" w:cs="Calibri"/>
        <w:b/>
        <w:color w:val="000000"/>
        <w:highlight w:val="white"/>
      </w:rPr>
      <w:t>Volume 7</w:t>
    </w:r>
    <w:r w:rsidR="000934A7">
      <w:rPr>
        <w:rFonts w:ascii="Calibri" w:eastAsia="Calibri" w:hAnsi="Calibri" w:cs="Calibri"/>
        <w:b/>
        <w:color w:val="000000"/>
        <w:highlight w:val="white"/>
      </w:rPr>
      <w:t>,</w:t>
    </w:r>
    <w:r>
      <w:rPr>
        <w:rFonts w:ascii="Calibri" w:eastAsia="Calibri" w:hAnsi="Calibri" w:cs="Calibri"/>
        <w:b/>
        <w:color w:val="000000"/>
        <w:highlight w:val="white"/>
      </w:rPr>
      <w:t xml:space="preserve"> Number 1, pp: ………………, June 2023</w:t>
    </w:r>
  </w:p>
  <w:p w:rsidR="006A7313" w:rsidRDefault="003E43D2" w:rsidP="00415587">
    <w:pPr>
      <w:pBdr>
        <w:top w:val="nil"/>
        <w:left w:val="nil"/>
        <w:bottom w:val="nil"/>
        <w:right w:val="nil"/>
        <w:between w:val="nil"/>
      </w:pBdr>
      <w:tabs>
        <w:tab w:val="left" w:pos="2460"/>
        <w:tab w:val="left" w:pos="5408"/>
        <w:tab w:val="left" w:pos="6306"/>
        <w:tab w:val="left" w:pos="8069"/>
      </w:tabs>
      <w:spacing w:line="240" w:lineRule="auto"/>
      <w:ind w:left="0" w:hanging="2"/>
      <w:rPr>
        <w:rFonts w:ascii="Calibri" w:eastAsia="Calibri" w:hAnsi="Calibri" w:cs="Calibri"/>
        <w:color w:val="000000"/>
        <w:highlight w:val="white"/>
      </w:rPr>
    </w:pPr>
    <w:hyperlink r:id="rId1">
      <w:r w:rsidR="000934A7">
        <w:rPr>
          <w:rFonts w:ascii="Calibri" w:eastAsia="Calibri" w:hAnsi="Calibri" w:cs="Calibri"/>
          <w:color w:val="000000"/>
          <w:highlight w:val="white"/>
        </w:rPr>
        <w:t>e-ISSN: 2580-9962</w:t>
      </w:r>
    </w:hyperlink>
    <w:r w:rsidR="000934A7">
      <w:rPr>
        <w:rFonts w:ascii="Calibri" w:eastAsia="Calibri" w:hAnsi="Calibri" w:cs="Calibri"/>
        <w:color w:val="000000"/>
        <w:highlight w:val="white"/>
      </w:rPr>
      <w:t> | </w:t>
    </w:r>
    <w:proofErr w:type="gramStart"/>
    <w:r w:rsidR="000934A7">
      <w:rPr>
        <w:rFonts w:ascii="Calibri" w:eastAsia="Calibri" w:hAnsi="Calibri" w:cs="Calibri"/>
        <w:color w:val="000000"/>
        <w:highlight w:val="white"/>
      </w:rPr>
      <w:t>p-ISSN</w:t>
    </w:r>
    <w:proofErr w:type="gramEnd"/>
    <w:r w:rsidR="000934A7">
      <w:rPr>
        <w:rFonts w:ascii="Calibri" w:eastAsia="Calibri" w:hAnsi="Calibri" w:cs="Calibri"/>
        <w:color w:val="000000"/>
        <w:highlight w:val="white"/>
      </w:rPr>
      <w:t>: 2580-8672</w:t>
    </w:r>
    <w:r w:rsidR="000934A7">
      <w:rPr>
        <w:rFonts w:ascii="Calibri" w:eastAsia="Calibri" w:hAnsi="Calibri" w:cs="Calibri"/>
        <w:color w:val="000000"/>
        <w:highlight w:val="white"/>
      </w:rPr>
      <w:tab/>
    </w:r>
    <w:r w:rsidR="000934A7">
      <w:rPr>
        <w:rFonts w:ascii="Calibri" w:eastAsia="Calibri" w:hAnsi="Calibri" w:cs="Calibri"/>
        <w:color w:val="000000"/>
        <w:highlight w:val="white"/>
      </w:rPr>
      <w:tab/>
    </w:r>
    <w:r w:rsidR="000934A7">
      <w:rPr>
        <w:rFonts w:ascii="Calibri" w:eastAsia="Calibri" w:hAnsi="Calibri" w:cs="Calibri"/>
        <w:color w:val="000000"/>
        <w:highlight w:val="white"/>
      </w:rPr>
      <w:tab/>
    </w:r>
  </w:p>
  <w:p w:rsidR="006A7313" w:rsidRDefault="000934A7" w:rsidP="00415587">
    <w:pPr>
      <w:pBdr>
        <w:top w:val="nil"/>
        <w:left w:val="nil"/>
        <w:bottom w:val="nil"/>
        <w:right w:val="nil"/>
        <w:between w:val="nil"/>
      </w:pBdr>
      <w:tabs>
        <w:tab w:val="left" w:pos="2460"/>
      </w:tabs>
      <w:spacing w:line="240" w:lineRule="auto"/>
      <w:ind w:left="0" w:right="45" w:hanging="2"/>
      <w:rPr>
        <w:color w:val="000000"/>
      </w:rPr>
    </w:pPr>
    <w:r>
      <w:rPr>
        <w:rFonts w:ascii="Calibri" w:eastAsia="Calibri" w:hAnsi="Calibri" w:cs="Calibri"/>
        <w:color w:val="000000"/>
        <w:highlight w:val="white"/>
      </w:rPr>
      <w:t xml:space="preserve">DOI: 10.30743/ </w:t>
    </w:r>
    <w:r>
      <w:rPr>
        <w:noProof/>
      </w:rPr>
      <mc:AlternateContent>
        <mc:Choice Requires="wps">
          <w:drawing>
            <wp:anchor distT="4294967293" distB="4294967293" distL="114300" distR="114300" simplePos="0" relativeHeight="251658240" behindDoc="0" locked="0" layoutInCell="1" hidden="0" allowOverlap="1">
              <wp:simplePos x="0" y="0"/>
              <wp:positionH relativeFrom="column">
                <wp:posOffset>1</wp:posOffset>
              </wp:positionH>
              <wp:positionV relativeFrom="paragraph">
                <wp:posOffset>208294</wp:posOffset>
              </wp:positionV>
              <wp:extent cx="5667375" cy="28575"/>
              <wp:effectExtent l="0" t="0" r="0" b="0"/>
              <wp:wrapNone/>
              <wp:docPr id="1" name="Straight Arrow Connector 1"/>
              <wp:cNvGraphicFramePr/>
              <a:graphic xmlns:a="http://schemas.openxmlformats.org/drawingml/2006/main">
                <a:graphicData uri="http://schemas.microsoft.com/office/word/2010/wordprocessingShape">
                  <wps:wsp>
                    <wps:cNvCnPr/>
                    <wps:spPr>
                      <a:xfrm>
                        <a:off x="2512313" y="3780000"/>
                        <a:ext cx="5667375" cy="0"/>
                      </a:xfrm>
                      <a:prstGeom prst="straightConnector1">
                        <a:avLst/>
                      </a:prstGeom>
                      <a:noFill/>
                      <a:ln w="28575" cap="flat" cmpd="sng">
                        <a:solidFill>
                          <a:srgbClr val="000000"/>
                        </a:solidFill>
                        <a:prstDash val="solid"/>
                        <a:round/>
                        <a:headEnd type="none" w="med" len="med"/>
                        <a:tailEnd type="none" w="med" len="med"/>
                      </a:ln>
                    </wps:spPr>
                    <wps:bodyPr/>
                  </wps:wsp>
                </a:graphicData>
              </a:graphic>
            </wp:anchor>
          </w:drawing>
        </mc:Choice>
        <mc:Fallback>
          <w:pict>
            <v:shapetype w14:anchorId="34EF7107" id="_x0000_t32" coordsize="21600,21600" o:spt="32" o:oned="t" path="m,l21600,21600e" filled="f">
              <v:path arrowok="t" fillok="f" o:connecttype="none"/>
              <o:lock v:ext="edit" shapetype="t"/>
            </v:shapetype>
            <v:shape id="Straight Arrow Connector 1" o:spid="_x0000_s1026" type="#_x0000_t32" style="position:absolute;margin-left:0;margin-top:16.4pt;width:446.25pt;height:2.25pt;z-index:251658240;visibility:visible;mso-wrap-style:square;mso-wrap-distance-left:9pt;mso-wrap-distance-top:-8e-5mm;mso-wrap-distance-right:9pt;mso-wrap-distance-bottom:-8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" strokeweight="2.25pt"/>
          </w:pict>
        </mc:Fallback>
      </mc:AlternateContent>
    </w:r>
  </w:p>
  <w:p w:rsidR="006A7313" w:rsidRDefault="006A7313" w:rsidP="00415587">
    <w:pPr>
      <w:pBdr>
        <w:top w:val="nil"/>
        <w:left w:val="nil"/>
        <w:bottom w:val="nil"/>
        <w:right w:val="nil"/>
        <w:between w:val="nil"/>
      </w:pBdr>
      <w:spacing w:line="240" w:lineRule="auto"/>
      <w:ind w:left="0" w:hanging="2"/>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7313" w:rsidRDefault="000934A7" w:rsidP="00415587">
    <w:pPr>
      <w:pBdr>
        <w:top w:val="nil"/>
        <w:left w:val="nil"/>
        <w:bottom w:val="nil"/>
        <w:right w:val="nil"/>
        <w:between w:val="nil"/>
      </w:pBdr>
      <w:spacing w:line="240" w:lineRule="auto"/>
      <w:ind w:left="0" w:hanging="2"/>
      <w:rPr>
        <w:rFonts w:ascii="Calibri" w:eastAsia="Calibri" w:hAnsi="Calibri" w:cs="Calibri"/>
        <w:color w:val="000000"/>
      </w:rPr>
    </w:pPr>
    <w:r>
      <w:rPr>
        <w:color w:val="000000"/>
      </w:rPr>
      <w:tab/>
    </w:r>
    <w:r>
      <w:rPr>
        <w:rFonts w:ascii="Calibri" w:eastAsia="Calibri" w:hAnsi="Calibri" w:cs="Calibri"/>
        <w:b/>
        <w:color w:val="000000"/>
      </w:rPr>
      <w:t>Language Literacy: Journal of Linguistics, Literature, and Language Teaching</w:t>
    </w:r>
    <w:r>
      <w:rPr>
        <w:noProof/>
      </w:rPr>
      <w:drawing>
        <wp:anchor distT="0" distB="0" distL="0" distR="0" simplePos="0" relativeHeight="251659264" behindDoc="1" locked="0" layoutInCell="1" hidden="0" allowOverlap="1">
          <wp:simplePos x="0" y="0"/>
          <wp:positionH relativeFrom="column">
            <wp:posOffset>-3809</wp:posOffset>
          </wp:positionH>
          <wp:positionV relativeFrom="paragraph">
            <wp:posOffset>-53338</wp:posOffset>
          </wp:positionV>
          <wp:extent cx="923925" cy="762000"/>
          <wp:effectExtent l="0" t="0" r="0" b="0"/>
          <wp:wrapNone/>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923925" cy="762000"/>
                  </a:xfrm>
                  <a:prstGeom prst="rect">
                    <a:avLst/>
                  </a:prstGeom>
                  <a:ln/>
                </pic:spPr>
              </pic:pic>
            </a:graphicData>
          </a:graphic>
        </wp:anchor>
      </w:drawing>
    </w:r>
  </w:p>
  <w:p w:rsidR="006A7313" w:rsidRDefault="00C9079C" w:rsidP="00415587">
    <w:pPr>
      <w:pBdr>
        <w:top w:val="nil"/>
        <w:left w:val="nil"/>
        <w:bottom w:val="nil"/>
        <w:right w:val="nil"/>
        <w:between w:val="nil"/>
      </w:pBdr>
      <w:tabs>
        <w:tab w:val="left" w:pos="2460"/>
      </w:tabs>
      <w:spacing w:line="240" w:lineRule="auto"/>
      <w:ind w:left="0" w:hanging="2"/>
      <w:rPr>
        <w:rFonts w:ascii="Calibri" w:eastAsia="Calibri" w:hAnsi="Calibri" w:cs="Calibri"/>
        <w:b/>
        <w:color w:val="000000"/>
        <w:highlight w:val="white"/>
      </w:rPr>
    </w:pPr>
    <w:r>
      <w:rPr>
        <w:rFonts w:ascii="Calibri" w:eastAsia="Calibri" w:hAnsi="Calibri" w:cs="Calibri"/>
        <w:b/>
        <w:color w:val="000000"/>
        <w:highlight w:val="white"/>
      </w:rPr>
      <w:t>Volume 7</w:t>
    </w:r>
    <w:r w:rsidR="000934A7">
      <w:rPr>
        <w:rFonts w:ascii="Calibri" w:eastAsia="Calibri" w:hAnsi="Calibri" w:cs="Calibri"/>
        <w:b/>
        <w:color w:val="000000"/>
        <w:highlight w:val="white"/>
      </w:rPr>
      <w:t>,</w:t>
    </w:r>
    <w:r>
      <w:rPr>
        <w:rFonts w:ascii="Calibri" w:eastAsia="Calibri" w:hAnsi="Calibri" w:cs="Calibri"/>
        <w:b/>
        <w:color w:val="000000"/>
        <w:highlight w:val="white"/>
      </w:rPr>
      <w:t xml:space="preserve"> Number 1, pp: ………………, June 2023</w:t>
    </w:r>
  </w:p>
  <w:p w:rsidR="006A7313" w:rsidRDefault="003E43D2" w:rsidP="00415587">
    <w:pPr>
      <w:pBdr>
        <w:top w:val="nil"/>
        <w:left w:val="nil"/>
        <w:bottom w:val="nil"/>
        <w:right w:val="nil"/>
        <w:between w:val="nil"/>
      </w:pBdr>
      <w:tabs>
        <w:tab w:val="left" w:pos="2460"/>
        <w:tab w:val="left" w:pos="5408"/>
        <w:tab w:val="left" w:pos="6306"/>
        <w:tab w:val="left" w:pos="8069"/>
      </w:tabs>
      <w:spacing w:line="240" w:lineRule="auto"/>
      <w:ind w:left="0" w:hanging="2"/>
      <w:rPr>
        <w:rFonts w:ascii="Calibri" w:eastAsia="Calibri" w:hAnsi="Calibri" w:cs="Calibri"/>
        <w:color w:val="000000"/>
        <w:highlight w:val="white"/>
      </w:rPr>
    </w:pPr>
    <w:hyperlink r:id="rId2">
      <w:r w:rsidR="000934A7">
        <w:rPr>
          <w:rFonts w:ascii="Calibri" w:eastAsia="Calibri" w:hAnsi="Calibri" w:cs="Calibri"/>
          <w:color w:val="000000"/>
          <w:highlight w:val="white"/>
        </w:rPr>
        <w:t>e-ISSN: 2580-9962</w:t>
      </w:r>
    </w:hyperlink>
    <w:r w:rsidR="000934A7">
      <w:rPr>
        <w:rFonts w:ascii="Calibri" w:eastAsia="Calibri" w:hAnsi="Calibri" w:cs="Calibri"/>
        <w:color w:val="000000"/>
        <w:highlight w:val="white"/>
      </w:rPr>
      <w:t> | </w:t>
    </w:r>
    <w:proofErr w:type="gramStart"/>
    <w:r w:rsidR="000934A7">
      <w:rPr>
        <w:rFonts w:ascii="Calibri" w:eastAsia="Calibri" w:hAnsi="Calibri" w:cs="Calibri"/>
        <w:color w:val="000000"/>
        <w:highlight w:val="white"/>
      </w:rPr>
      <w:t>p-ISSN</w:t>
    </w:r>
    <w:proofErr w:type="gramEnd"/>
    <w:r w:rsidR="000934A7">
      <w:rPr>
        <w:rFonts w:ascii="Calibri" w:eastAsia="Calibri" w:hAnsi="Calibri" w:cs="Calibri"/>
        <w:color w:val="000000"/>
        <w:highlight w:val="white"/>
      </w:rPr>
      <w:t>: 2580-8672</w:t>
    </w:r>
    <w:r w:rsidR="000934A7">
      <w:rPr>
        <w:rFonts w:ascii="Calibri" w:eastAsia="Calibri" w:hAnsi="Calibri" w:cs="Calibri"/>
        <w:color w:val="000000"/>
        <w:highlight w:val="white"/>
      </w:rPr>
      <w:tab/>
    </w:r>
    <w:r w:rsidR="000934A7">
      <w:rPr>
        <w:rFonts w:ascii="Calibri" w:eastAsia="Calibri" w:hAnsi="Calibri" w:cs="Calibri"/>
        <w:color w:val="000000"/>
        <w:highlight w:val="white"/>
      </w:rPr>
      <w:tab/>
    </w:r>
    <w:r w:rsidR="000934A7">
      <w:rPr>
        <w:rFonts w:ascii="Calibri" w:eastAsia="Calibri" w:hAnsi="Calibri" w:cs="Calibri"/>
        <w:color w:val="000000"/>
        <w:highlight w:val="white"/>
      </w:rPr>
      <w:tab/>
    </w:r>
  </w:p>
  <w:p w:rsidR="006A7313" w:rsidRDefault="000934A7" w:rsidP="00415587">
    <w:pPr>
      <w:pBdr>
        <w:top w:val="nil"/>
        <w:left w:val="nil"/>
        <w:bottom w:val="nil"/>
        <w:right w:val="nil"/>
        <w:between w:val="nil"/>
      </w:pBdr>
      <w:tabs>
        <w:tab w:val="left" w:pos="2460"/>
      </w:tabs>
      <w:spacing w:line="240" w:lineRule="auto"/>
      <w:ind w:left="0" w:right="45" w:hanging="2"/>
      <w:rPr>
        <w:color w:val="000000"/>
      </w:rPr>
    </w:pPr>
    <w:r>
      <w:rPr>
        <w:rFonts w:ascii="Calibri" w:eastAsia="Calibri" w:hAnsi="Calibri" w:cs="Calibri"/>
        <w:color w:val="000000"/>
        <w:highlight w:val="white"/>
      </w:rPr>
      <w:t xml:space="preserve">DOI: 10.30743/ </w:t>
    </w:r>
    <w:r>
      <w:rPr>
        <w:noProof/>
      </w:rPr>
      <mc:AlternateContent>
        <mc:Choice Requires="wps">
          <w:drawing>
            <wp:anchor distT="4294967293" distB="4294967293" distL="114300" distR="114300" simplePos="0" relativeHeight="251660288" behindDoc="0" locked="0" layoutInCell="1" hidden="0" allowOverlap="1">
              <wp:simplePos x="0" y="0"/>
              <wp:positionH relativeFrom="column">
                <wp:posOffset>1</wp:posOffset>
              </wp:positionH>
              <wp:positionV relativeFrom="paragraph">
                <wp:posOffset>208294</wp:posOffset>
              </wp:positionV>
              <wp:extent cx="5667375" cy="28575"/>
              <wp:effectExtent l="0" t="0" r="0" b="0"/>
              <wp:wrapNone/>
              <wp:docPr id="2" name="Straight Arrow Connector 2"/>
              <wp:cNvGraphicFramePr/>
              <a:graphic xmlns:a="http://schemas.openxmlformats.org/drawingml/2006/main">
                <a:graphicData uri="http://schemas.microsoft.com/office/word/2010/wordprocessingShape">
                  <wps:wsp>
                    <wps:cNvCnPr/>
                    <wps:spPr>
                      <a:xfrm>
                        <a:off x="2512313" y="3780000"/>
                        <a:ext cx="5667375" cy="0"/>
                      </a:xfrm>
                      <a:prstGeom prst="straightConnector1">
                        <a:avLst/>
                      </a:prstGeom>
                      <a:noFill/>
                      <a:ln w="28575" cap="flat" cmpd="sng">
                        <a:solidFill>
                          <a:srgbClr val="000000"/>
                        </a:solidFill>
                        <a:prstDash val="solid"/>
                        <a:round/>
                        <a:headEnd type="none" w="med" len="med"/>
                        <a:tailEnd type="none" w="med" len="med"/>
                      </a:ln>
                    </wps:spPr>
                    <wps:bodyPr/>
                  </wps:wsp>
                </a:graphicData>
              </a:graphic>
            </wp:anchor>
          </w:drawing>
        </mc:Choice>
        <mc:Fallback>
          <w:pict>
            <v:shapetype w14:anchorId="04EB2EA4" id="_x0000_t32" coordsize="21600,21600" o:spt="32" o:oned="t" path="m,l21600,21600e" filled="f">
              <v:path arrowok="t" fillok="f" o:connecttype="none"/>
              <o:lock v:ext="edit" shapetype="t"/>
            </v:shapetype>
            <v:shape id="Straight Arrow Connector 2" o:spid="_x0000_s1026" type="#_x0000_t32" style="position:absolute;margin-left:0;margin-top:16.4pt;width:446.25pt;height:2.25pt;z-index:251660288;visibility:visible;mso-wrap-style:square;mso-wrap-distance-left:9pt;mso-wrap-distance-top:-8e-5mm;mso-wrap-distance-right:9pt;mso-wrap-distance-bottom:-8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" strokeweight="2.25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7210F8"/>
    <w:multiLevelType w:val="multilevel"/>
    <w:tmpl w:val="7C6E2194"/>
    <w:lvl w:ilvl="0">
      <w:start w:val="1"/>
      <w:numFmt w:val="decimal"/>
      <w:pStyle w:val="references"/>
      <w:lvlText w:val="%1."/>
      <w:lvlJc w:val="left"/>
      <w:pPr>
        <w:ind w:left="1080" w:hanging="720"/>
      </w:pPr>
      <w:rPr>
        <w:b/>
        <w:sz w:val="28"/>
        <w:szCs w:val="28"/>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nsid w:val="18942B38"/>
    <w:multiLevelType w:val="hybridMultilevel"/>
    <w:tmpl w:val="8A3802A8"/>
    <w:lvl w:ilvl="0" w:tplc="05FE496E">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A7D72F3"/>
    <w:multiLevelType w:val="multilevel"/>
    <w:tmpl w:val="3C10AF8A"/>
    <w:lvl w:ilvl="0">
      <w:start w:val="1"/>
      <w:numFmt w:val="decimal"/>
      <w:pStyle w:val="tablehead"/>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nsid w:val="52137A01"/>
    <w:multiLevelType w:val="multilevel"/>
    <w:tmpl w:val="947E0F44"/>
    <w:lvl w:ilvl="0">
      <w:start w:val="1"/>
      <w:numFmt w:val="decimal"/>
      <w:pStyle w:val="yange2"/>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3"/>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7313"/>
    <w:rsid w:val="00077DC0"/>
    <w:rsid w:val="000934A7"/>
    <w:rsid w:val="001C2A54"/>
    <w:rsid w:val="001F6857"/>
    <w:rsid w:val="0020354D"/>
    <w:rsid w:val="0022799E"/>
    <w:rsid w:val="003E1121"/>
    <w:rsid w:val="003E43D2"/>
    <w:rsid w:val="00415587"/>
    <w:rsid w:val="0043798C"/>
    <w:rsid w:val="004531FE"/>
    <w:rsid w:val="00484C3C"/>
    <w:rsid w:val="00486CFE"/>
    <w:rsid w:val="004C073E"/>
    <w:rsid w:val="004C76F4"/>
    <w:rsid w:val="004F09E2"/>
    <w:rsid w:val="004F15E0"/>
    <w:rsid w:val="004F3E93"/>
    <w:rsid w:val="005002B2"/>
    <w:rsid w:val="005A6E95"/>
    <w:rsid w:val="00634BBF"/>
    <w:rsid w:val="00665334"/>
    <w:rsid w:val="006A7313"/>
    <w:rsid w:val="006C447D"/>
    <w:rsid w:val="006E1E85"/>
    <w:rsid w:val="0075350E"/>
    <w:rsid w:val="00833691"/>
    <w:rsid w:val="00876664"/>
    <w:rsid w:val="00877F28"/>
    <w:rsid w:val="009B26F2"/>
    <w:rsid w:val="009F29B8"/>
    <w:rsid w:val="00A93274"/>
    <w:rsid w:val="00AA60D1"/>
    <w:rsid w:val="00AB2EB0"/>
    <w:rsid w:val="00AD1B4D"/>
    <w:rsid w:val="00B27225"/>
    <w:rsid w:val="00B36C8D"/>
    <w:rsid w:val="00B85AB2"/>
    <w:rsid w:val="00B9455E"/>
    <w:rsid w:val="00C12653"/>
    <w:rsid w:val="00C848B2"/>
    <w:rsid w:val="00C9079C"/>
    <w:rsid w:val="00D52D9E"/>
    <w:rsid w:val="00D5603F"/>
    <w:rsid w:val="00D609C9"/>
    <w:rsid w:val="00DD7C08"/>
    <w:rsid w:val="00E64D0D"/>
    <w:rsid w:val="00E86034"/>
    <w:rsid w:val="00EC3519"/>
    <w:rsid w:val="00F25F07"/>
    <w:rsid w:val="00FA6E85"/>
    <w:rsid w:val="00FC547B"/>
    <w:rsid w:val="00FD64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CC733A19-B5D8-4901-AFE2-12FECE27C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link w:val="Heading1Char"/>
    <w:uiPriority w:val="9"/>
    <w:qFormat/>
    <w:pPr>
      <w:keepNext/>
      <w:spacing w:line="480" w:lineRule="auto"/>
      <w:jc w:val="center"/>
    </w:pPr>
    <w:rPr>
      <w:b/>
      <w:bCs/>
    </w:rPr>
  </w:style>
  <w:style w:type="paragraph" w:styleId="Heading2">
    <w:name w:val="heading 2"/>
    <w:basedOn w:val="Normal"/>
    <w:next w:val="Normal"/>
    <w:pPr>
      <w:keepNext/>
      <w:spacing w:before="240" w:after="60"/>
      <w:outlineLvl w:val="1"/>
    </w:pPr>
    <w:rPr>
      <w:rFonts w:ascii="Arial" w:hAnsi="Arial" w:cs="Arial"/>
      <w:b/>
      <w:bCs/>
      <w:i/>
      <w:iCs/>
      <w:sz w:val="28"/>
      <w:szCs w:val="28"/>
    </w:rPr>
  </w:style>
  <w:style w:type="paragraph" w:styleId="Heading3">
    <w:name w:val="heading 3"/>
    <w:basedOn w:val="Normal"/>
    <w:next w:val="Normal"/>
    <w:pPr>
      <w:keepNext/>
      <w:spacing w:before="240" w:after="60"/>
      <w:outlineLvl w:val="2"/>
    </w:pPr>
    <w:rPr>
      <w:rFonts w:ascii="Arial" w:hAnsi="Arial"/>
      <w:b/>
      <w:bCs/>
      <w:sz w:val="26"/>
      <w:szCs w:val="26"/>
    </w:rPr>
  </w:style>
  <w:style w:type="paragraph" w:styleId="Heading4">
    <w:name w:val="heading 4"/>
    <w:basedOn w:val="Normal"/>
    <w:next w:val="Normal"/>
    <w:pPr>
      <w:keepNext/>
      <w:spacing w:before="240" w:after="60"/>
      <w:outlineLvl w:val="3"/>
    </w:pPr>
    <w:rPr>
      <w:b/>
      <w:bCs/>
      <w:sz w:val="28"/>
      <w:szCs w:val="28"/>
    </w:rPr>
  </w:style>
  <w:style w:type="paragraph" w:styleId="Heading5">
    <w:name w:val="heading 5"/>
    <w:basedOn w:val="Normal"/>
    <w:next w:val="Normal"/>
    <w:pPr>
      <w:spacing w:before="240" w:after="60"/>
      <w:outlineLvl w:val="4"/>
    </w:pPr>
    <w:rPr>
      <w:b/>
      <w:bCs/>
      <w:i/>
      <w:iCs/>
      <w:sz w:val="26"/>
      <w:szCs w:val="26"/>
    </w:rPr>
  </w:style>
  <w:style w:type="paragraph" w:styleId="Heading6">
    <w:name w:val="heading 6"/>
    <w:basedOn w:val="Normal"/>
    <w:next w:val="Normal"/>
    <w:pPr>
      <w:keepNext/>
      <w:jc w:val="center"/>
      <w:outlineLvl w:val="5"/>
    </w:pPr>
    <w:rPr>
      <w:b/>
      <w:bCs/>
      <w:i/>
      <w:iCs/>
      <w:u w:val="single"/>
    </w:rPr>
  </w:style>
  <w:style w:type="paragraph" w:styleId="Heading7">
    <w:name w:val="heading 7"/>
    <w:basedOn w:val="Normal"/>
    <w:next w:val="Normal"/>
    <w:pPr>
      <w:spacing w:before="240" w:after="60"/>
      <w:outlineLvl w:val="6"/>
    </w:pPr>
    <w:rPr>
      <w:sz w:val="24"/>
      <w:szCs w:val="24"/>
    </w:rPr>
  </w:style>
  <w:style w:type="paragraph" w:styleId="Heading8">
    <w:name w:val="heading 8"/>
    <w:basedOn w:val="Normal"/>
    <w:next w:val="Normal"/>
    <w:pPr>
      <w:keepNext/>
      <w:outlineLvl w:val="7"/>
    </w:pPr>
    <w:rPr>
      <w:b/>
      <w:bCs/>
      <w:lang w:val="pl-PL" w:eastAsia="pl-PL"/>
    </w:rPr>
  </w:style>
  <w:style w:type="paragraph" w:styleId="Heading9">
    <w:name w:val="heading 9"/>
    <w:basedOn w:val="Normal"/>
    <w:next w:val="Normal"/>
    <w:pPr>
      <w:keepNext/>
      <w:ind w:right="-4041"/>
      <w:outlineLvl w:val="8"/>
    </w:pPr>
    <w:rPr>
      <w:b/>
      <w:bCs/>
      <w:lang w:val="en-AU"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pPr>
      <w:jc w:val="center"/>
    </w:pPr>
    <w:rPr>
      <w:b/>
      <w:bCs/>
      <w:sz w:val="28"/>
      <w:szCs w:val="24"/>
      <w:lang w:val="id-ID"/>
    </w:rPr>
  </w:style>
  <w:style w:type="table" w:styleId="TableGrid">
    <w:name w:val="Table Grid"/>
    <w:basedOn w:val="TableNormal"/>
    <w:uiPriority w:val="39"/>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rPr>
      <w:color w:val="0000FF"/>
      <w:w w:val="100"/>
      <w:position w:val="-1"/>
      <w:u w:val="single"/>
      <w:effect w:val="none"/>
      <w:vertAlign w:val="baseline"/>
      <w:cs w:val="0"/>
      <w:em w:val="none"/>
    </w:rPr>
  </w:style>
  <w:style w:type="paragraph" w:styleId="Header">
    <w:name w:val="header"/>
    <w:basedOn w:val="Normal"/>
  </w:style>
  <w:style w:type="paragraph" w:styleId="Footer">
    <w:name w:val="footer"/>
    <w:basedOn w:val="Normal"/>
  </w:style>
  <w:style w:type="character" w:styleId="PageNumber">
    <w:name w:val="page number"/>
    <w:basedOn w:val="DefaultParagraphFont"/>
    <w:rPr>
      <w:w w:val="100"/>
      <w:position w:val="-1"/>
      <w:effect w:val="none"/>
      <w:vertAlign w:val="baseline"/>
      <w:cs w:val="0"/>
      <w:em w:val="none"/>
    </w:rPr>
  </w:style>
  <w:style w:type="paragraph" w:styleId="BalloonText">
    <w:name w:val="Balloon Text"/>
    <w:basedOn w:val="Normal"/>
    <w:rPr>
      <w:rFonts w:ascii="Tahoma" w:hAnsi="Tahoma"/>
      <w:sz w:val="16"/>
      <w:szCs w:val="16"/>
    </w:rPr>
  </w:style>
  <w:style w:type="paragraph" w:styleId="BodyTextIndent">
    <w:name w:val="Body Text Indent"/>
    <w:basedOn w:val="Normal"/>
    <w:pPr>
      <w:spacing w:line="360" w:lineRule="auto"/>
      <w:ind w:left="456" w:firstLine="984"/>
      <w:jc w:val="both"/>
    </w:pPr>
    <w:rPr>
      <w:lang w:val="id-ID"/>
    </w:rPr>
  </w:style>
  <w:style w:type="paragraph" w:styleId="BodyTextIndent2">
    <w:name w:val="Body Text Indent 2"/>
    <w:basedOn w:val="Normal"/>
    <w:pPr>
      <w:spacing w:after="120" w:line="480" w:lineRule="auto"/>
      <w:ind w:left="360"/>
    </w:pPr>
  </w:style>
  <w:style w:type="paragraph" w:styleId="BodyText">
    <w:name w:val="Body Text"/>
    <w:basedOn w:val="Normal"/>
    <w:pPr>
      <w:spacing w:after="120"/>
    </w:pPr>
    <w:rPr>
      <w:lang w:val="id-ID" w:eastAsia="id-ID"/>
    </w:rPr>
  </w:style>
  <w:style w:type="paragraph" w:styleId="Caption">
    <w:name w:val="caption"/>
    <w:basedOn w:val="Normal"/>
    <w:next w:val="Normal"/>
    <w:pPr>
      <w:spacing w:line="480" w:lineRule="auto"/>
      <w:jc w:val="center"/>
    </w:pPr>
    <w:rPr>
      <w:i/>
      <w:iCs/>
    </w:rPr>
  </w:style>
  <w:style w:type="character" w:styleId="FootnoteReference">
    <w:name w:val="footnote reference"/>
    <w:rPr>
      <w:w w:val="100"/>
      <w:position w:val="-1"/>
      <w:effect w:val="none"/>
      <w:vertAlign w:val="superscript"/>
      <w:cs w:val="0"/>
      <w:em w:val="none"/>
    </w:rPr>
  </w:style>
  <w:style w:type="paragraph" w:styleId="FootnoteText">
    <w:name w:val="footnote text"/>
    <w:basedOn w:val="Normal"/>
    <w:rPr>
      <w:lang w:eastAsia="ko-KR"/>
    </w:rPr>
  </w:style>
  <w:style w:type="paragraph" w:customStyle="1" w:styleId="Judulbab">
    <w:name w:val="Judul bab"/>
    <w:basedOn w:val="Normal"/>
    <w:pPr>
      <w:spacing w:line="475" w:lineRule="atLeast"/>
      <w:jc w:val="center"/>
    </w:pPr>
    <w:rPr>
      <w:b/>
      <w:sz w:val="32"/>
    </w:rPr>
  </w:style>
  <w:style w:type="paragraph" w:customStyle="1" w:styleId="IsiBabforKomputek">
    <w:name w:val="Isi Bab for Komputek"/>
    <w:basedOn w:val="Normal"/>
    <w:pPr>
      <w:ind w:firstLine="720"/>
      <w:jc w:val="both"/>
    </w:pPr>
  </w:style>
  <w:style w:type="paragraph" w:customStyle="1" w:styleId="tole">
    <w:name w:val="tole"/>
    <w:basedOn w:val="Normal"/>
    <w:pPr>
      <w:jc w:val="center"/>
    </w:pPr>
    <w:rPr>
      <w:b/>
      <w:bCs/>
      <w:sz w:val="28"/>
      <w:szCs w:val="28"/>
    </w:rPr>
  </w:style>
  <w:style w:type="paragraph" w:customStyle="1" w:styleId="tolesBold">
    <w:name w:val="toles + Bold"/>
    <w:aliases w:val="Line spacing:  single"/>
    <w:basedOn w:val="Normal"/>
    <w:pPr>
      <w:jc w:val="center"/>
    </w:pPr>
    <w:rPr>
      <w:i/>
      <w:iCs/>
      <w:sz w:val="24"/>
      <w:szCs w:val="24"/>
    </w:rPr>
  </w:style>
  <w:style w:type="paragraph" w:customStyle="1" w:styleId="toleLinespacingsingle">
    <w:name w:val="tole + Line spacing:  single"/>
    <w:basedOn w:val="Normal"/>
    <w:pPr>
      <w:jc w:val="both"/>
    </w:pPr>
    <w:rPr>
      <w:sz w:val="24"/>
      <w:szCs w:val="24"/>
    </w:rPr>
  </w:style>
  <w:style w:type="paragraph" w:customStyle="1" w:styleId="bunga">
    <w:name w:val="bunga"/>
    <w:basedOn w:val="Normal"/>
    <w:pPr>
      <w:jc w:val="both"/>
    </w:pPr>
    <w:rPr>
      <w:rFonts w:ascii="Arial" w:hAnsi="Arial" w:cs="Arial"/>
      <w:szCs w:val="24"/>
    </w:rPr>
  </w:style>
  <w:style w:type="paragraph" w:customStyle="1" w:styleId="bunga2">
    <w:name w:val="bunga2"/>
    <w:basedOn w:val="Normal"/>
    <w:pPr>
      <w:jc w:val="both"/>
    </w:pPr>
    <w:rPr>
      <w:rFonts w:ascii="Arial" w:hAnsi="Arial" w:cs="Arial"/>
      <w:b/>
      <w:bCs/>
      <w:szCs w:val="24"/>
    </w:rPr>
  </w:style>
  <w:style w:type="paragraph" w:customStyle="1" w:styleId="DiQi">
    <w:name w:val="DiQi"/>
    <w:basedOn w:val="Normal"/>
    <w:pPr>
      <w:spacing w:line="360" w:lineRule="auto"/>
      <w:jc w:val="both"/>
    </w:pPr>
    <w:rPr>
      <w:sz w:val="24"/>
      <w:szCs w:val="24"/>
    </w:rPr>
  </w:style>
  <w:style w:type="paragraph" w:customStyle="1" w:styleId="tole3">
    <w:name w:val="tole3"/>
    <w:basedOn w:val="DiQi"/>
    <w:pPr>
      <w:spacing w:line="240" w:lineRule="auto"/>
    </w:pPr>
    <w:rPr>
      <w:rFonts w:ascii="Arial" w:hAnsi="Arial" w:cs="Arial"/>
      <w:b/>
      <w:bCs/>
      <w:sz w:val="20"/>
    </w:rPr>
  </w:style>
  <w:style w:type="paragraph" w:customStyle="1" w:styleId="yange">
    <w:name w:val="yange"/>
    <w:basedOn w:val="DiQi"/>
    <w:pPr>
      <w:spacing w:line="240" w:lineRule="auto"/>
      <w:ind w:left="360"/>
    </w:pPr>
    <w:rPr>
      <w:rFonts w:ascii="Arial" w:hAnsi="Arial" w:cs="Arial"/>
      <w:sz w:val="20"/>
    </w:rPr>
  </w:style>
  <w:style w:type="paragraph" w:customStyle="1" w:styleId="yange2">
    <w:name w:val="yange2"/>
    <w:basedOn w:val="DiQi"/>
    <w:pPr>
      <w:numPr>
        <w:numId w:val="1"/>
      </w:numPr>
      <w:spacing w:line="240" w:lineRule="auto"/>
      <w:ind w:left="-1" w:hanging="1"/>
    </w:pPr>
    <w:rPr>
      <w:rFonts w:ascii="Arial" w:hAnsi="Arial" w:cs="Arial"/>
      <w:sz w:val="20"/>
    </w:rPr>
  </w:style>
  <w:style w:type="paragraph" w:customStyle="1" w:styleId="JossTole">
    <w:name w:val="JossTole"/>
    <w:basedOn w:val="DiQi"/>
    <w:pPr>
      <w:spacing w:line="240" w:lineRule="auto"/>
      <w:ind w:firstLine="709"/>
    </w:pPr>
    <w:rPr>
      <w:rFonts w:ascii="Arial" w:hAnsi="Arial" w:cs="Arial"/>
      <w:sz w:val="20"/>
    </w:rPr>
  </w:style>
  <w:style w:type="paragraph" w:styleId="List">
    <w:name w:val="List"/>
    <w:basedOn w:val="Normal"/>
    <w:pPr>
      <w:ind w:left="360" w:hanging="360"/>
      <w:jc w:val="center"/>
    </w:pPr>
    <w:rPr>
      <w:sz w:val="24"/>
      <w:szCs w:val="24"/>
    </w:rPr>
  </w:style>
  <w:style w:type="paragraph" w:styleId="BodyTextIndent3">
    <w:name w:val="Body Text Indent 3"/>
    <w:basedOn w:val="Normal"/>
    <w:pPr>
      <w:spacing w:after="120"/>
      <w:ind w:left="360"/>
    </w:pPr>
    <w:rPr>
      <w:sz w:val="16"/>
      <w:szCs w:val="16"/>
    </w:rPr>
  </w:style>
  <w:style w:type="paragraph" w:customStyle="1" w:styleId="Body0">
    <w:name w:val="Body 0"/>
    <w:basedOn w:val="Normal"/>
    <w:pPr>
      <w:spacing w:line="360" w:lineRule="atLeast"/>
      <w:jc w:val="both"/>
    </w:pPr>
    <w:rPr>
      <w:rFonts w:ascii="Palatino" w:hAnsi="Palatino"/>
      <w:sz w:val="24"/>
      <w:szCs w:val="24"/>
    </w:rPr>
  </w:style>
  <w:style w:type="paragraph" w:styleId="BodyText2">
    <w:name w:val="Body Text 2"/>
    <w:basedOn w:val="Normal"/>
    <w:pPr>
      <w:spacing w:after="120" w:line="480" w:lineRule="auto"/>
    </w:pPr>
  </w:style>
  <w:style w:type="paragraph" w:customStyle="1" w:styleId="AutoBiography">
    <w:name w:val="AutoBiography"/>
    <w:basedOn w:val="Normal"/>
    <w:pPr>
      <w:jc w:val="both"/>
    </w:pPr>
    <w:rPr>
      <w:sz w:val="18"/>
      <w:szCs w:val="18"/>
      <w:lang w:bidi="th-TH"/>
    </w:rPr>
  </w:style>
  <w:style w:type="paragraph" w:customStyle="1" w:styleId="Default">
    <w:name w:val="Default"/>
    <w:pPr>
      <w:widowControl w:val="0"/>
      <w:suppressAutoHyphens/>
      <w:autoSpaceDE w:val="0"/>
      <w:autoSpaceDN w:val="0"/>
      <w:adjustRightInd w:val="0"/>
      <w:spacing w:line="1" w:lineRule="atLeast"/>
      <w:ind w:leftChars="-1" w:left="-1" w:hangingChars="1" w:hanging="1"/>
      <w:textDirection w:val="btLr"/>
      <w:textAlignment w:val="top"/>
      <w:outlineLvl w:val="0"/>
    </w:pPr>
    <w:rPr>
      <w:color w:val="000000"/>
      <w:position w:val="-1"/>
      <w:sz w:val="24"/>
      <w:szCs w:val="24"/>
    </w:rPr>
  </w:style>
  <w:style w:type="paragraph" w:customStyle="1" w:styleId="SectionTitle">
    <w:name w:val="Section Title"/>
    <w:basedOn w:val="Normal"/>
    <w:pPr>
      <w:jc w:val="both"/>
    </w:pPr>
    <w:rPr>
      <w:lang w:val="en-GB" w:bidi="th-TH"/>
    </w:rPr>
  </w:style>
  <w:style w:type="paragraph" w:customStyle="1" w:styleId="Style10ptJustified">
    <w:name w:val="Style 10 pt Justified"/>
    <w:basedOn w:val="Normal"/>
    <w:pPr>
      <w:ind w:firstLine="720"/>
      <w:jc w:val="both"/>
    </w:pPr>
    <w:rPr>
      <w:rFonts w:ascii="Arial" w:eastAsia="MS Mincho" w:hAnsi="Arial" w:cs="Arial"/>
      <w:iCs/>
      <w:lang w:val="en-GB"/>
    </w:rPr>
  </w:style>
  <w:style w:type="character" w:customStyle="1" w:styleId="Style10ptJustifiedChar">
    <w:name w:val="Style 10 pt Justified Char"/>
    <w:rPr>
      <w:rFonts w:ascii="Arial" w:eastAsia="MS Mincho" w:hAnsi="Arial" w:cs="Arial"/>
      <w:iCs/>
      <w:w w:val="100"/>
      <w:position w:val="-1"/>
      <w:effect w:val="none"/>
      <w:vertAlign w:val="baseline"/>
      <w:cs w:val="0"/>
      <w:em w:val="none"/>
      <w:lang w:val="en-GB" w:eastAsia="en-US" w:bidi="ar-SA"/>
    </w:rPr>
  </w:style>
  <w:style w:type="paragraph" w:customStyle="1" w:styleId="paperbody">
    <w:name w:val="paper body"/>
    <w:basedOn w:val="Normal"/>
    <w:pPr>
      <w:jc w:val="both"/>
    </w:pPr>
    <w:rPr>
      <w:sz w:val="24"/>
      <w:szCs w:val="24"/>
      <w:lang w:val="en-AU"/>
    </w:rPr>
  </w:style>
  <w:style w:type="paragraph" w:styleId="PlainText">
    <w:name w:val="Plain Text"/>
    <w:basedOn w:val="Normal"/>
    <w:rPr>
      <w:rFonts w:ascii="Courier New" w:eastAsia="BatangChe" w:hAnsi="Courier New"/>
      <w:sz w:val="24"/>
      <w:szCs w:val="24"/>
    </w:rPr>
  </w:style>
  <w:style w:type="character" w:customStyle="1" w:styleId="CharChar">
    <w:name w:val="Char Char"/>
    <w:rPr>
      <w:rFonts w:ascii="Courier New" w:eastAsia="BatangChe" w:hAnsi="Courier New"/>
      <w:w w:val="100"/>
      <w:position w:val="-1"/>
      <w:sz w:val="24"/>
      <w:szCs w:val="24"/>
      <w:effect w:val="none"/>
      <w:vertAlign w:val="baseline"/>
      <w:cs w:val="0"/>
      <w:em w:val="none"/>
      <w:lang w:val="en-US" w:eastAsia="en-US"/>
    </w:rPr>
  </w:style>
  <w:style w:type="paragraph" w:styleId="Subtitle">
    <w:name w:val="Subtitle"/>
    <w:basedOn w:val="Normal"/>
    <w:pPr>
      <w:jc w:val="center"/>
    </w:pPr>
    <w:rPr>
      <w:b/>
      <w:sz w:val="32"/>
      <w:szCs w:val="32"/>
    </w:rPr>
  </w:style>
  <w:style w:type="paragraph" w:customStyle="1" w:styleId="Body">
    <w:name w:val="Body"/>
    <w:basedOn w:val="Normal"/>
    <w:pPr>
      <w:widowControl w:val="0"/>
      <w:autoSpaceDE w:val="0"/>
      <w:autoSpaceDN w:val="0"/>
      <w:adjustRightInd w:val="0"/>
      <w:ind w:firstLine="340"/>
      <w:jc w:val="both"/>
      <w:textAlignment w:val="baseline"/>
    </w:pPr>
    <w:rPr>
      <w:lang w:eastAsia="ko-KR"/>
    </w:rPr>
  </w:style>
  <w:style w:type="paragraph" w:customStyle="1" w:styleId="Reference">
    <w:name w:val="Reference"/>
    <w:basedOn w:val="Normal"/>
    <w:pPr>
      <w:widowControl w:val="0"/>
      <w:autoSpaceDE w:val="0"/>
      <w:autoSpaceDN w:val="0"/>
      <w:adjustRightInd w:val="0"/>
      <w:spacing w:before="60" w:after="60"/>
      <w:ind w:left="288" w:hanging="288"/>
      <w:jc w:val="both"/>
      <w:textAlignment w:val="baseline"/>
    </w:pPr>
    <w:rPr>
      <w:lang w:eastAsia="ko-KR"/>
    </w:rPr>
  </w:style>
  <w:style w:type="paragraph" w:customStyle="1" w:styleId="Demenko">
    <w:name w:val="Demenko"/>
    <w:basedOn w:val="Normal"/>
    <w:pPr>
      <w:widowControl w:val="0"/>
      <w:spacing w:after="113" w:line="360" w:lineRule="auto"/>
      <w:jc w:val="both"/>
    </w:pPr>
    <w:rPr>
      <w:sz w:val="22"/>
      <w:szCs w:val="22"/>
      <w:lang w:val="en-GB" w:eastAsia="pl-PL"/>
    </w:rPr>
  </w:style>
  <w:style w:type="paragraph" w:customStyle="1" w:styleId="Text">
    <w:name w:val="Text"/>
    <w:basedOn w:val="Normal"/>
    <w:pPr>
      <w:widowControl w:val="0"/>
      <w:autoSpaceDE w:val="0"/>
      <w:autoSpaceDN w:val="0"/>
      <w:spacing w:line="252" w:lineRule="auto"/>
      <w:ind w:firstLine="202"/>
      <w:jc w:val="both"/>
    </w:pPr>
    <w:rPr>
      <w:lang w:eastAsia="ko-KR"/>
    </w:rPr>
  </w:style>
  <w:style w:type="paragraph" w:customStyle="1" w:styleId="Equation">
    <w:name w:val="Equation"/>
    <w:basedOn w:val="Normal"/>
    <w:next w:val="Normal"/>
    <w:pPr>
      <w:widowControl w:val="0"/>
      <w:autoSpaceDE w:val="0"/>
      <w:autoSpaceDN w:val="0"/>
      <w:spacing w:line="252" w:lineRule="auto"/>
      <w:jc w:val="both"/>
    </w:pPr>
    <w:rPr>
      <w:lang w:eastAsia="ko-KR"/>
    </w:rPr>
  </w:style>
  <w:style w:type="paragraph" w:customStyle="1" w:styleId="TableTitle">
    <w:name w:val="Table Title"/>
    <w:basedOn w:val="Normal"/>
    <w:pPr>
      <w:jc w:val="center"/>
    </w:pPr>
    <w:rPr>
      <w:smallCaps/>
      <w:sz w:val="16"/>
      <w:szCs w:val="16"/>
    </w:rPr>
  </w:style>
  <w:style w:type="paragraph" w:customStyle="1" w:styleId="Sub-titles">
    <w:name w:val="Sub-titles"/>
    <w:basedOn w:val="Normal"/>
    <w:pPr>
      <w:jc w:val="both"/>
    </w:pPr>
    <w:rPr>
      <w:b/>
      <w:bCs/>
      <w:color w:val="000000"/>
      <w:sz w:val="24"/>
      <w:szCs w:val="24"/>
      <w:lang w:val="pt-PT" w:eastAsia="pt-PT"/>
    </w:rPr>
  </w:style>
  <w:style w:type="paragraph" w:customStyle="1" w:styleId="text0">
    <w:name w:val="text"/>
    <w:basedOn w:val="Normal"/>
    <w:pPr>
      <w:ind w:firstLine="227"/>
      <w:jc w:val="both"/>
    </w:pPr>
  </w:style>
  <w:style w:type="paragraph" w:customStyle="1" w:styleId="tables">
    <w:name w:val="tables"/>
    <w:basedOn w:val="Normal"/>
    <w:pPr>
      <w:jc w:val="both"/>
    </w:pPr>
    <w:rPr>
      <w:sz w:val="18"/>
      <w:szCs w:val="18"/>
    </w:rPr>
  </w:style>
  <w:style w:type="character" w:styleId="Strong">
    <w:name w:val="Strong"/>
    <w:uiPriority w:val="22"/>
    <w:qFormat/>
    <w:rPr>
      <w:b/>
      <w:bCs/>
      <w:w w:val="100"/>
      <w:position w:val="-1"/>
      <w:effect w:val="none"/>
      <w:vertAlign w:val="baseline"/>
      <w:cs w:val="0"/>
      <w:em w:val="none"/>
    </w:rPr>
  </w:style>
  <w:style w:type="paragraph" w:styleId="NormalWeb">
    <w:name w:val="Normal (Web)"/>
    <w:basedOn w:val="Normal"/>
    <w:uiPriority w:val="99"/>
    <w:pPr>
      <w:spacing w:before="100" w:beforeAutospacing="1" w:after="100" w:afterAutospacing="1"/>
    </w:pPr>
    <w:rPr>
      <w:sz w:val="24"/>
      <w:szCs w:val="24"/>
    </w:rPr>
  </w:style>
  <w:style w:type="character" w:styleId="Emphasis">
    <w:name w:val="Emphasis"/>
    <w:uiPriority w:val="20"/>
    <w:qFormat/>
    <w:rPr>
      <w:i/>
      <w:iCs/>
      <w:w w:val="100"/>
      <w:position w:val="-1"/>
      <w:effect w:val="none"/>
      <w:vertAlign w:val="baseline"/>
      <w:cs w:val="0"/>
      <w:em w:val="none"/>
    </w:rPr>
  </w:style>
  <w:style w:type="paragraph" w:customStyle="1" w:styleId="Abstract">
    <w:name w:val="Abstract"/>
    <w:pPr>
      <w:suppressAutoHyphens/>
      <w:spacing w:after="200" w:line="1" w:lineRule="atLeast"/>
      <w:ind w:leftChars="-1" w:left="-1" w:hangingChars="1" w:hanging="1"/>
      <w:jc w:val="both"/>
      <w:textDirection w:val="btLr"/>
      <w:textAlignment w:val="top"/>
      <w:outlineLvl w:val="0"/>
    </w:pPr>
    <w:rPr>
      <w:b/>
      <w:position w:val="-1"/>
      <w:sz w:val="18"/>
    </w:rPr>
  </w:style>
  <w:style w:type="paragraph" w:customStyle="1" w:styleId="Affiliation">
    <w:name w:val="Affiliation"/>
    <w:pPr>
      <w:suppressAutoHyphens/>
      <w:spacing w:line="1" w:lineRule="atLeast"/>
      <w:ind w:leftChars="-1" w:left="-1" w:hangingChars="1" w:hanging="1"/>
      <w:jc w:val="center"/>
      <w:textDirection w:val="btLr"/>
      <w:textAlignment w:val="top"/>
      <w:outlineLvl w:val="0"/>
    </w:pPr>
    <w:rPr>
      <w:position w:val="-1"/>
    </w:rPr>
  </w:style>
  <w:style w:type="paragraph" w:customStyle="1" w:styleId="equation0">
    <w:name w:val="equation"/>
    <w:basedOn w:val="Normal"/>
    <w:pPr>
      <w:spacing w:before="240" w:after="240" w:line="216" w:lineRule="auto"/>
      <w:jc w:val="center"/>
    </w:pPr>
  </w:style>
  <w:style w:type="paragraph" w:customStyle="1" w:styleId="figurecaption">
    <w:name w:val="figure caption"/>
    <w:pPr>
      <w:suppressAutoHyphens/>
      <w:spacing w:before="80" w:after="200" w:line="1" w:lineRule="atLeast"/>
      <w:ind w:leftChars="-1" w:left="-1" w:hangingChars="1" w:hanging="1"/>
      <w:jc w:val="center"/>
      <w:textDirection w:val="btLr"/>
      <w:textAlignment w:val="top"/>
      <w:outlineLvl w:val="0"/>
    </w:pPr>
    <w:rPr>
      <w:position w:val="-1"/>
      <w:sz w:val="16"/>
    </w:rPr>
  </w:style>
  <w:style w:type="paragraph" w:customStyle="1" w:styleId="papertitle">
    <w:name w:val="paper title"/>
    <w:pPr>
      <w:suppressAutoHyphens/>
      <w:spacing w:after="120" w:line="1" w:lineRule="atLeast"/>
      <w:ind w:leftChars="-1" w:left="-1" w:hangingChars="1" w:hanging="1"/>
      <w:jc w:val="center"/>
      <w:textDirection w:val="btLr"/>
      <w:textAlignment w:val="top"/>
      <w:outlineLvl w:val="0"/>
    </w:pPr>
    <w:rPr>
      <w:position w:val="-1"/>
      <w:sz w:val="48"/>
    </w:rPr>
  </w:style>
  <w:style w:type="paragraph" w:customStyle="1" w:styleId="references">
    <w:name w:val="references"/>
    <w:pPr>
      <w:numPr>
        <w:numId w:val="2"/>
      </w:numPr>
      <w:suppressAutoHyphens/>
      <w:spacing w:after="40" w:line="180" w:lineRule="atLeast"/>
      <w:ind w:leftChars="-1" w:left="-1" w:hangingChars="1" w:hanging="1"/>
      <w:jc w:val="both"/>
      <w:textDirection w:val="btLr"/>
      <w:textAlignment w:val="top"/>
      <w:outlineLvl w:val="0"/>
    </w:pPr>
    <w:rPr>
      <w:position w:val="-1"/>
      <w:sz w:val="16"/>
    </w:rPr>
  </w:style>
  <w:style w:type="paragraph" w:customStyle="1" w:styleId="tablecolsubhead">
    <w:name w:val="table col subhead"/>
    <w:basedOn w:val="Normal"/>
    <w:pPr>
      <w:jc w:val="center"/>
    </w:pPr>
    <w:rPr>
      <w:b/>
      <w:i/>
      <w:sz w:val="15"/>
    </w:rPr>
  </w:style>
  <w:style w:type="paragraph" w:customStyle="1" w:styleId="tablecopy">
    <w:name w:val="table copy"/>
    <w:pPr>
      <w:suppressAutoHyphens/>
      <w:spacing w:line="1" w:lineRule="atLeast"/>
      <w:ind w:leftChars="-1" w:left="-1" w:hangingChars="1" w:hanging="1"/>
      <w:jc w:val="both"/>
      <w:textDirection w:val="btLr"/>
      <w:textAlignment w:val="top"/>
      <w:outlineLvl w:val="0"/>
    </w:pPr>
    <w:rPr>
      <w:position w:val="-1"/>
      <w:sz w:val="16"/>
    </w:rPr>
  </w:style>
  <w:style w:type="paragraph" w:customStyle="1" w:styleId="tablehead">
    <w:name w:val="table head"/>
    <w:pPr>
      <w:numPr>
        <w:numId w:val="3"/>
      </w:numPr>
      <w:suppressAutoHyphens/>
      <w:spacing w:before="240" w:after="120" w:line="216" w:lineRule="auto"/>
      <w:ind w:leftChars="-1" w:left="-1" w:hangingChars="1" w:hanging="1"/>
      <w:jc w:val="center"/>
      <w:textDirection w:val="btLr"/>
      <w:textAlignment w:val="top"/>
      <w:outlineLvl w:val="0"/>
    </w:pPr>
    <w:rPr>
      <w:smallCaps/>
      <w:position w:val="-1"/>
      <w:sz w:val="16"/>
    </w:rPr>
  </w:style>
  <w:style w:type="character" w:customStyle="1" w:styleId="shorttext">
    <w:name w:val="short_text"/>
    <w:basedOn w:val="DefaultParagraphFont"/>
    <w:rPr>
      <w:w w:val="100"/>
      <w:position w:val="-1"/>
      <w:effect w:val="none"/>
      <w:vertAlign w:val="baseline"/>
      <w:cs w:val="0"/>
      <w:em w:val="none"/>
    </w:rPr>
  </w:style>
  <w:style w:type="character" w:customStyle="1" w:styleId="longtext">
    <w:name w:val="long_text"/>
    <w:basedOn w:val="DefaultParagraphFont"/>
    <w:rPr>
      <w:w w:val="100"/>
      <w:position w:val="-1"/>
      <w:effect w:val="none"/>
      <w:vertAlign w:val="baseline"/>
      <w:cs w:val="0"/>
      <w:em w:val="none"/>
    </w:rPr>
  </w:style>
  <w:style w:type="character" w:customStyle="1" w:styleId="apple-style-span">
    <w:name w:val="apple-style-span"/>
    <w:basedOn w:val="DefaultParagraphFont"/>
    <w:rPr>
      <w:w w:val="100"/>
      <w:position w:val="-1"/>
      <w:effect w:val="none"/>
      <w:vertAlign w:val="baseline"/>
      <w:cs w:val="0"/>
      <w:em w:val="none"/>
    </w:rPr>
  </w:style>
  <w:style w:type="character" w:customStyle="1" w:styleId="apple-converted-space">
    <w:name w:val="apple-converted-space"/>
    <w:basedOn w:val="DefaultParagraphFont"/>
    <w:rPr>
      <w:w w:val="100"/>
      <w:position w:val="-1"/>
      <w:effect w:val="none"/>
      <w:vertAlign w:val="baseline"/>
      <w:cs w:val="0"/>
      <w:em w:val="none"/>
    </w:rPr>
  </w:style>
  <w:style w:type="paragraph" w:styleId="HTMLPreformatted">
    <w:name w:val="HTML Preformatted"/>
    <w:basedOn w:val="Normal"/>
    <w:uiPriority w:val="99"/>
    <w:rPr>
      <w:rFonts w:ascii="Courier New" w:hAnsi="Courier New"/>
    </w:rPr>
  </w:style>
  <w:style w:type="paragraph" w:styleId="ListParagraph">
    <w:name w:val="List Paragraph"/>
    <w:basedOn w:val="Normal"/>
    <w:uiPriority w:val="34"/>
    <w:qFormat/>
    <w:pPr>
      <w:spacing w:after="200" w:line="276" w:lineRule="auto"/>
      <w:ind w:left="720"/>
      <w:contextualSpacing/>
    </w:pPr>
    <w:rPr>
      <w:rFonts w:ascii="Calibri" w:hAnsi="Calibri"/>
      <w:sz w:val="22"/>
      <w:szCs w:val="22"/>
      <w:lang w:val="en-GB" w:eastAsia="en-GB"/>
    </w:rPr>
  </w:style>
  <w:style w:type="paragraph" w:styleId="NoSpacing">
    <w:name w:val="No Spacing"/>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style>
  <w:style w:type="character" w:customStyle="1" w:styleId="hps">
    <w:name w:val="hps"/>
    <w:basedOn w:val="DefaultParagraphFont"/>
    <w:rPr>
      <w:w w:val="100"/>
      <w:position w:val="-1"/>
      <w:effect w:val="none"/>
      <w:vertAlign w:val="baseline"/>
      <w:cs w:val="0"/>
      <w:em w:val="none"/>
    </w:rPr>
  </w:style>
  <w:style w:type="character" w:customStyle="1" w:styleId="HeaderChar">
    <w:name w:val="Header Char"/>
    <w:basedOn w:val="DefaultParagraphFont"/>
    <w:rPr>
      <w:w w:val="100"/>
      <w:position w:val="-1"/>
      <w:effect w:val="none"/>
      <w:vertAlign w:val="baseline"/>
      <w:cs w:val="0"/>
      <w:em w:val="none"/>
    </w:rPr>
  </w:style>
  <w:style w:type="character" w:customStyle="1" w:styleId="Heading3Char">
    <w:name w:val="Heading 3 Char"/>
    <w:rPr>
      <w:rFonts w:ascii="Arial" w:hAnsi="Arial" w:cs="Arial"/>
      <w:b/>
      <w:bCs/>
      <w:w w:val="100"/>
      <w:position w:val="-1"/>
      <w:sz w:val="26"/>
      <w:szCs w:val="26"/>
      <w:effect w:val="none"/>
      <w:vertAlign w:val="baseline"/>
      <w:cs w:val="0"/>
      <w:em w:val="none"/>
    </w:rPr>
  </w:style>
  <w:style w:type="character" w:customStyle="1" w:styleId="TitleChar">
    <w:name w:val="Title Char"/>
    <w:rPr>
      <w:b/>
      <w:bCs/>
      <w:w w:val="100"/>
      <w:position w:val="-1"/>
      <w:sz w:val="28"/>
      <w:szCs w:val="24"/>
      <w:effect w:val="none"/>
      <w:vertAlign w:val="baseline"/>
      <w:cs w:val="0"/>
      <w:em w:val="none"/>
      <w:lang w:val="id-ID"/>
    </w:rPr>
  </w:style>
  <w:style w:type="character" w:customStyle="1" w:styleId="HTMLPreformattedChar">
    <w:name w:val="HTML Preformatted Char"/>
    <w:uiPriority w:val="99"/>
    <w:rPr>
      <w:rFonts w:ascii="Courier New" w:hAnsi="Courier New" w:cs="Courier New"/>
      <w:w w:val="100"/>
      <w:position w:val="-1"/>
      <w:effect w:val="none"/>
      <w:vertAlign w:val="baseline"/>
      <w:cs w:val="0"/>
      <w:em w:val="none"/>
    </w:rPr>
  </w:style>
  <w:style w:type="paragraph" w:customStyle="1" w:styleId="IEEEReferenceItem">
    <w:name w:val="IEEE Reference Item"/>
    <w:basedOn w:val="Normal"/>
    <w:pPr>
      <w:adjustRightInd w:val="0"/>
      <w:ind w:left="720" w:hanging="360"/>
      <w:jc w:val="both"/>
    </w:pPr>
    <w:rPr>
      <w:sz w:val="16"/>
      <w:szCs w:val="24"/>
      <w:lang w:eastAsia="zh-CN"/>
    </w:rPr>
  </w:style>
  <w:style w:type="paragraph" w:customStyle="1" w:styleId="BodytextMaJER">
    <w:name w:val="Body text MaJER"/>
    <w:basedOn w:val="Normal"/>
    <w:pPr>
      <w:jc w:val="both"/>
    </w:pPr>
    <w:rPr>
      <w:snapToGrid w:val="0"/>
      <w:sz w:val="24"/>
      <w:szCs w:val="24"/>
      <w:lang w:val="en-GB"/>
    </w:rPr>
  </w:style>
  <w:style w:type="paragraph" w:customStyle="1" w:styleId="SubsectionheadingsMaJER">
    <w:name w:val="Subsection headings MaJER"/>
    <w:basedOn w:val="BodyText"/>
    <w:pPr>
      <w:spacing w:before="120"/>
      <w:jc w:val="both"/>
    </w:pPr>
    <w:rPr>
      <w:sz w:val="24"/>
      <w:szCs w:val="24"/>
      <w:lang w:val="en-GB" w:eastAsia="es-ES"/>
    </w:rPr>
  </w:style>
  <w:style w:type="character" w:customStyle="1" w:styleId="UnresolvedMention">
    <w:name w:val="Unresolved Mention"/>
    <w:qFormat/>
    <w:rPr>
      <w:color w:val="605E5C"/>
      <w:w w:val="100"/>
      <w:position w:val="-1"/>
      <w:effect w:val="none"/>
      <w:shd w:val="clear" w:color="auto" w:fill="E1DFDD"/>
      <w:vertAlign w:val="baseline"/>
      <w:cs w:val="0"/>
      <w:em w:val="none"/>
    </w:rPr>
  </w:style>
  <w:style w:type="character" w:customStyle="1" w:styleId="FooterChar">
    <w:name w:val="Footer Char"/>
    <w:rPr>
      <w:w w:val="100"/>
      <w:position w:val="-1"/>
      <w:effect w:val="none"/>
      <w:vertAlign w:val="baseline"/>
      <w:cs w:val="0"/>
      <w:em w:val="none"/>
      <w:lang w:val="en-US" w:eastAsia="en-US"/>
    </w:rPr>
  </w:style>
  <w:style w:type="character" w:customStyle="1" w:styleId="y2iqfc">
    <w:name w:val="y2iqfc"/>
    <w:basedOn w:val="DefaultParagraphFont"/>
    <w:rsid w:val="00C848B2"/>
  </w:style>
  <w:style w:type="character" w:customStyle="1" w:styleId="markedcontent">
    <w:name w:val="markedcontent"/>
    <w:basedOn w:val="DefaultParagraphFont"/>
    <w:rsid w:val="00A93274"/>
  </w:style>
  <w:style w:type="character" w:customStyle="1" w:styleId="fontstyle01">
    <w:name w:val="fontstyle01"/>
    <w:basedOn w:val="DefaultParagraphFont"/>
    <w:rsid w:val="00A93274"/>
    <w:rPr>
      <w:rFonts w:ascii="Times New Roman" w:hAnsi="Times New Roman" w:cs="Times New Roman" w:hint="default"/>
      <w:b w:val="0"/>
      <w:bCs w:val="0"/>
      <w:i w:val="0"/>
      <w:iCs w:val="0"/>
      <w:color w:val="000000"/>
      <w:sz w:val="24"/>
      <w:szCs w:val="24"/>
    </w:rPr>
  </w:style>
  <w:style w:type="character" w:customStyle="1" w:styleId="product-ryt-detail">
    <w:name w:val="product-ryt-detail"/>
    <w:basedOn w:val="DefaultParagraphFont"/>
    <w:rsid w:val="00A93274"/>
  </w:style>
  <w:style w:type="character" w:customStyle="1" w:styleId="nowrap">
    <w:name w:val="nowrap"/>
    <w:basedOn w:val="DefaultParagraphFont"/>
    <w:rsid w:val="00A93274"/>
  </w:style>
  <w:style w:type="character" w:customStyle="1" w:styleId="name">
    <w:name w:val="name"/>
    <w:basedOn w:val="DefaultParagraphFont"/>
    <w:rsid w:val="00A93274"/>
  </w:style>
  <w:style w:type="character" w:customStyle="1" w:styleId="fontstyle21">
    <w:name w:val="fontstyle21"/>
    <w:basedOn w:val="DefaultParagraphFont"/>
    <w:rsid w:val="00A93274"/>
    <w:rPr>
      <w:rFonts w:ascii="Times New Roman" w:hAnsi="Times New Roman" w:cs="Times New Roman" w:hint="default"/>
      <w:b w:val="0"/>
      <w:bCs w:val="0"/>
      <w:i/>
      <w:iCs/>
      <w:color w:val="000000"/>
      <w:sz w:val="24"/>
      <w:szCs w:val="24"/>
    </w:rPr>
  </w:style>
  <w:style w:type="character" w:customStyle="1" w:styleId="underline">
    <w:name w:val="underline"/>
    <w:basedOn w:val="DefaultParagraphFont"/>
    <w:rsid w:val="00A93274"/>
  </w:style>
  <w:style w:type="character" w:customStyle="1" w:styleId="label">
    <w:name w:val="label"/>
    <w:basedOn w:val="DefaultParagraphFont"/>
    <w:rsid w:val="00A93274"/>
  </w:style>
  <w:style w:type="character" w:customStyle="1" w:styleId="value">
    <w:name w:val="value"/>
    <w:basedOn w:val="DefaultParagraphFont"/>
    <w:rsid w:val="00A93274"/>
  </w:style>
  <w:style w:type="character" w:customStyle="1" w:styleId="c-journal-titletext">
    <w:name w:val="c-journal-title__text"/>
    <w:basedOn w:val="DefaultParagraphFont"/>
    <w:rsid w:val="00A93274"/>
  </w:style>
  <w:style w:type="character" w:customStyle="1" w:styleId="Heading1Char">
    <w:name w:val="Heading 1 Char"/>
    <w:basedOn w:val="DefaultParagraphFont"/>
    <w:link w:val="Heading1"/>
    <w:uiPriority w:val="9"/>
    <w:rsid w:val="00AD1B4D"/>
    <w:rPr>
      <w:b/>
      <w:bCs/>
      <w:position w:val="-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7811717">
      <w:bodyDiv w:val="1"/>
      <w:marLeft w:val="0"/>
      <w:marRight w:val="0"/>
      <w:marTop w:val="0"/>
      <w:marBottom w:val="0"/>
      <w:divBdr>
        <w:top w:val="none" w:sz="0" w:space="0" w:color="auto"/>
        <w:left w:val="none" w:sz="0" w:space="0" w:color="auto"/>
        <w:bottom w:val="none" w:sz="0" w:space="0" w:color="auto"/>
        <w:right w:val="none" w:sz="0" w:space="0" w:color="auto"/>
      </w:divBdr>
    </w:div>
    <w:div w:id="851142414">
      <w:bodyDiv w:val="1"/>
      <w:marLeft w:val="0"/>
      <w:marRight w:val="0"/>
      <w:marTop w:val="0"/>
      <w:marBottom w:val="0"/>
      <w:divBdr>
        <w:top w:val="none" w:sz="0" w:space="0" w:color="auto"/>
        <w:left w:val="none" w:sz="0" w:space="0" w:color="auto"/>
        <w:bottom w:val="none" w:sz="0" w:space="0" w:color="auto"/>
        <w:right w:val="none" w:sz="0" w:space="0" w:color="auto"/>
      </w:divBdr>
    </w:div>
    <w:div w:id="928005233">
      <w:bodyDiv w:val="1"/>
      <w:marLeft w:val="0"/>
      <w:marRight w:val="0"/>
      <w:marTop w:val="0"/>
      <w:marBottom w:val="0"/>
      <w:divBdr>
        <w:top w:val="none" w:sz="0" w:space="0" w:color="auto"/>
        <w:left w:val="none" w:sz="0" w:space="0" w:color="auto"/>
        <w:bottom w:val="none" w:sz="0" w:space="0" w:color="auto"/>
        <w:right w:val="none" w:sz="0" w:space="0" w:color="auto"/>
      </w:divBdr>
    </w:div>
    <w:div w:id="1325863497">
      <w:bodyDiv w:val="1"/>
      <w:marLeft w:val="0"/>
      <w:marRight w:val="0"/>
      <w:marTop w:val="0"/>
      <w:marBottom w:val="0"/>
      <w:divBdr>
        <w:top w:val="none" w:sz="0" w:space="0" w:color="auto"/>
        <w:left w:val="none" w:sz="0" w:space="0" w:color="auto"/>
        <w:bottom w:val="none" w:sz="0" w:space="0" w:color="auto"/>
        <w:right w:val="none" w:sz="0" w:space="0" w:color="auto"/>
      </w:divBdr>
    </w:div>
    <w:div w:id="1379624417">
      <w:bodyDiv w:val="1"/>
      <w:marLeft w:val="0"/>
      <w:marRight w:val="0"/>
      <w:marTop w:val="0"/>
      <w:marBottom w:val="0"/>
      <w:divBdr>
        <w:top w:val="none" w:sz="0" w:space="0" w:color="auto"/>
        <w:left w:val="none" w:sz="0" w:space="0" w:color="auto"/>
        <w:bottom w:val="none" w:sz="0" w:space="0" w:color="auto"/>
        <w:right w:val="none" w:sz="0" w:space="0" w:color="auto"/>
      </w:divBdr>
    </w:div>
    <w:div w:id="1423377049">
      <w:bodyDiv w:val="1"/>
      <w:marLeft w:val="0"/>
      <w:marRight w:val="0"/>
      <w:marTop w:val="0"/>
      <w:marBottom w:val="0"/>
      <w:divBdr>
        <w:top w:val="none" w:sz="0" w:space="0" w:color="auto"/>
        <w:left w:val="none" w:sz="0" w:space="0" w:color="auto"/>
        <w:bottom w:val="none" w:sz="0" w:space="0" w:color="auto"/>
        <w:right w:val="none" w:sz="0" w:space="0" w:color="auto"/>
      </w:divBdr>
    </w:div>
    <w:div w:id="1602451821">
      <w:bodyDiv w:val="1"/>
      <w:marLeft w:val="0"/>
      <w:marRight w:val="0"/>
      <w:marTop w:val="0"/>
      <w:marBottom w:val="0"/>
      <w:divBdr>
        <w:top w:val="none" w:sz="0" w:space="0" w:color="auto"/>
        <w:left w:val="none" w:sz="0" w:space="0" w:color="auto"/>
        <w:bottom w:val="none" w:sz="0" w:space="0" w:color="auto"/>
        <w:right w:val="none" w:sz="0" w:space="0" w:color="auto"/>
      </w:divBdr>
    </w:div>
    <w:div w:id="2029288640">
      <w:bodyDiv w:val="1"/>
      <w:marLeft w:val="0"/>
      <w:marRight w:val="0"/>
      <w:marTop w:val="0"/>
      <w:marBottom w:val="0"/>
      <w:divBdr>
        <w:top w:val="none" w:sz="0" w:space="0" w:color="auto"/>
        <w:left w:val="none" w:sz="0" w:space="0" w:color="auto"/>
        <w:bottom w:val="none" w:sz="0" w:space="0" w:color="auto"/>
        <w:right w:val="none" w:sz="0" w:space="0" w:color="auto"/>
      </w:divBdr>
    </w:div>
    <w:div w:id="20598643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hyperlink" Target="mailto:siskaekasyafitri@unsam.ac.id"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jurnal.uisu.ac.id/index.php/languageliteracy"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jurnal.uisu.ac.id/index.php/languageliteracy"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u.lipi.go.id/1498016796" TargetMode="External"/></Relationships>
</file>

<file path=word/_rels/header3.xml.rels><?xml version="1.0" encoding="UTF-8" standalone="yes"?>
<Relationships xmlns="http://schemas.openxmlformats.org/package/2006/relationships"><Relationship Id="rId2" Type="http://schemas.openxmlformats.org/officeDocument/2006/relationships/hyperlink" Target="http://u.lipi.go.id/1498016796" TargetMode="External"/><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FHiB+4nYapFS68bsaNwQdDzukCQ==">AMUW2mVJ5sjxtqFnt+JTPF7rOaGSLsoCFRPjHdBcD75RUoANckTMMcJZETTiCstnlPlZC29ho1KAGxMzxBUhqJSCFHdaoON5grMe9gmVxRxA7b9iJxLREQE=</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6B59D85-05D2-4B83-ACDD-3CF897F4BB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12</Pages>
  <Words>11019</Words>
  <Characters>71960</Characters>
  <Application>Microsoft Office Word</Application>
  <DocSecurity>0</DocSecurity>
  <Lines>1564</Lines>
  <Paragraphs>450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cairo</dc:creator>
  <cp:lastModifiedBy>MyBook Hype</cp:lastModifiedBy>
  <cp:revision>10</cp:revision>
  <dcterms:created xsi:type="dcterms:W3CDTF">2025-08-20T04:21:00Z</dcterms:created>
  <dcterms:modified xsi:type="dcterms:W3CDTF">2025-09-03T07:20:00Z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GrammarlyDocumentId">
    <vt:lpwstr>7e094f55a35d9788f35215a434d807d01da935034b9414a7784cf8eb798f58b1</vt:lpwstr>
  </property>
  <property fmtid="{D5CDD505-2E9C-101B-9397-08002B2CF9AE}" pid="4" name="Mendeley Document_1">
    <vt:lpwstr>True</vt:lpwstr>
  </property>
  <property fmtid="{D5CDD505-2E9C-101B-9397-08002B2CF9AE}" pid="5" name="Mendeley Unique User Id_1">
    <vt:lpwstr>1e46de08-78c9-3d2a-8e70-13f8029285d3</vt:lpwstr>
  </property>
  <property fmtid="{D5CDD505-2E9C-101B-9397-08002B2CF9AE}" pid="6" name="Mendeley Citation Style_1">
    <vt:lpwstr>http://www.zotero.org/styles/apa</vt:lpwstr>
  </property>
  <property fmtid="{D5CDD505-2E9C-101B-9397-08002B2CF9AE}" pid="7" name="Mendeley Recent Style Id 0_1">
    <vt:lpwstr>http://www.zotero.org/styles/american-medical-association</vt:lpwstr>
  </property>
  <property fmtid="{D5CDD505-2E9C-101B-9397-08002B2CF9AE}" pid="8" name="Mendeley Recent Style Name 0_1">
    <vt:lpwstr>American Medical Association 11th edition</vt:lpwstr>
  </property>
  <property fmtid="{D5CDD505-2E9C-101B-9397-08002B2CF9AE}" pid="9" name="Mendeley Recent Style Id 1_1">
    <vt:lpwstr>http://www.zotero.org/styles/american-political-science-association</vt:lpwstr>
  </property>
  <property fmtid="{D5CDD505-2E9C-101B-9397-08002B2CF9AE}" pid="10" name="Mendeley Recent Style Name 1_1">
    <vt:lpwstr>American Political Science Association</vt:lpwstr>
  </property>
  <property fmtid="{D5CDD505-2E9C-101B-9397-08002B2CF9AE}" pid="11" name="Mendeley Recent Style Id 2_1">
    <vt:lpwstr>http://www.zotero.org/styles/apa</vt:lpwstr>
  </property>
  <property fmtid="{D5CDD505-2E9C-101B-9397-08002B2CF9AE}" pid="12" name="Mendeley Recent Style Name 2_1">
    <vt:lpwstr>American Psychological Association 7th edition</vt:lpwstr>
  </property>
  <property fmtid="{D5CDD505-2E9C-101B-9397-08002B2CF9AE}" pid="13" name="Mendeley Recent Style Id 3_1">
    <vt:lpwstr>http://www.zotero.org/styles/american-sociological-association</vt:lpwstr>
  </property>
  <property fmtid="{D5CDD505-2E9C-101B-9397-08002B2CF9AE}" pid="14" name="Mendeley Recent Style Name 3_1">
    <vt:lpwstr>American Sociological Association 6th/7th edition</vt:lpwstr>
  </property>
  <property fmtid="{D5CDD505-2E9C-101B-9397-08002B2CF9AE}" pid="15" name="Mendeley Recent Style Id 4_1">
    <vt:lpwstr>http://www.zotero.org/styles/chicago-author-date</vt:lpwstr>
  </property>
  <property fmtid="{D5CDD505-2E9C-101B-9397-08002B2CF9AE}" pid="16" name="Mendeley Recent Style Name 4_1">
    <vt:lpwstr>Chicago Manual of Style 17th edition (author-date)</vt:lpwstr>
  </property>
  <property fmtid="{D5CDD505-2E9C-101B-9397-08002B2CF9AE}" pid="17" name="Mendeley Recent Style Id 5_1">
    <vt:lpwstr>http://www.zotero.org/styles/harvard-cite-them-right</vt:lpwstr>
  </property>
  <property fmtid="{D5CDD505-2E9C-101B-9397-08002B2CF9AE}" pid="18" name="Mendeley Recent Style Name 5_1">
    <vt:lpwstr>Cite Them Right 12th edition - Harvard</vt:lpwstr>
  </property>
  <property fmtid="{D5CDD505-2E9C-101B-9397-08002B2CF9AE}" pid="19" name="Mendeley Recent Style Id 6_1">
    <vt:lpwstr>http://www.zotero.org/styles/ieee</vt:lpwstr>
  </property>
  <property fmtid="{D5CDD505-2E9C-101B-9397-08002B2CF9AE}" pid="20" name="Mendeley Recent Style Name 6_1">
    <vt:lpwstr>IEEE</vt:lpwstr>
  </property>
  <property fmtid="{D5CDD505-2E9C-101B-9397-08002B2CF9AE}" pid="21" name="Mendeley Recent Style Id 7_1">
    <vt:lpwstr>http://www.zotero.org/styles/modern-humanities-research-association</vt:lpwstr>
  </property>
  <property fmtid="{D5CDD505-2E9C-101B-9397-08002B2CF9AE}" pid="22" name="Mendeley Recent Style Name 7_1">
    <vt:lpwstr>Modern Humanities Research Association 4th edition (note with bibliography)</vt:lpwstr>
  </property>
  <property fmtid="{D5CDD505-2E9C-101B-9397-08002B2CF9AE}" pid="23" name="Mendeley Recent Style Id 8_1">
    <vt:lpwstr>http://www.zotero.org/styles/modern-language-association</vt:lpwstr>
  </property>
  <property fmtid="{D5CDD505-2E9C-101B-9397-08002B2CF9AE}" pid="24" name="Mendeley Recent Style Name 8_1">
    <vt:lpwstr>Modern Language Association 9th edition</vt:lpwstr>
  </property>
  <property fmtid="{D5CDD505-2E9C-101B-9397-08002B2CF9AE}" pid="25" name="Mendeley Recent Style Id 9_1">
    <vt:lpwstr>http://www.zotero.org/styles/nature</vt:lpwstr>
  </property>
  <property fmtid="{D5CDD505-2E9C-101B-9397-08002B2CF9AE}" pid="26" name="Mendeley Recent Style Name 9_1">
    <vt:lpwstr>Nature</vt:lpwstr>
  </property>
</Properties>
</file>